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bottom w:val="nil"/>
          <w:insideH w:val="nil"/>
          <w:insideV w:val="nil"/>
        </w:tblBorders>
        <w:tblCellMar>
          <w:left w:w="0" w:type="dxa"/>
          <w:right w:w="0" w:type="dxa"/>
        </w:tblCellMar>
        <w:tblLook w:val="0420"/>
      </w:tblPr>
      <w:tblGrid>
        <w:gridCol w:w="3231"/>
        <w:gridCol w:w="6125"/>
      </w:tblGrid>
      <w:tr w:rsidR="00464E05" w:rsidTr="00464E05">
        <w:tc>
          <w:tcPr>
            <w:tcW w:w="3231" w:type="dxa"/>
            <w:tcBorders>
              <w:top w:val="nil"/>
              <w:left w:val="nil"/>
              <w:bottom w:val="nil"/>
              <w:right w:val="nil"/>
              <w:tl2br w:val="nil"/>
              <w:tr2bl w:val="nil"/>
            </w:tcBorders>
            <w:shd w:val="clear" w:color="auto" w:fill="auto"/>
            <w:tcMar>
              <w:top w:w="0" w:type="dxa"/>
              <w:left w:w="108" w:type="dxa"/>
              <w:bottom w:w="0" w:type="dxa"/>
              <w:right w:w="108" w:type="dxa"/>
            </w:tcMar>
          </w:tcPr>
          <w:p w:rsidR="00464E05" w:rsidRPr="00332738" w:rsidRDefault="003F0C47" w:rsidP="005B1283">
            <w:pPr>
              <w:spacing w:before="120"/>
              <w:jc w:val="center"/>
              <w:rPr>
                <w:sz w:val="26"/>
                <w:szCs w:val="26"/>
              </w:rPr>
            </w:pPr>
            <w:r w:rsidRPr="003F0C47">
              <w:rPr>
                <w:b/>
                <w:bCs/>
                <w:noProof/>
                <w:sz w:val="26"/>
                <w:szCs w:val="26"/>
              </w:rPr>
              <w:pict>
                <v:line id="_x0000_s1029" style="position:absolute;left:0;text-align:left;z-index:251664384" from="41.25pt,39.75pt" to="104.25pt,39.75pt"/>
              </w:pict>
            </w:r>
            <w:r w:rsidR="00464E05" w:rsidRPr="00332738">
              <w:rPr>
                <w:b/>
                <w:bCs/>
                <w:sz w:val="26"/>
                <w:szCs w:val="26"/>
                <w:lang w:val="vi-VN"/>
              </w:rPr>
              <w:t>ỦY BAN NHÂN DÂN</w:t>
            </w:r>
            <w:r w:rsidR="00464E05" w:rsidRPr="00332738">
              <w:rPr>
                <w:b/>
                <w:bCs/>
                <w:sz w:val="26"/>
                <w:szCs w:val="26"/>
                <w:lang w:val="vi-VN"/>
              </w:rPr>
              <w:br/>
              <w:t xml:space="preserve">TỈNH </w:t>
            </w:r>
            <w:r w:rsidR="00464E05" w:rsidRPr="00332738">
              <w:rPr>
                <w:b/>
                <w:bCs/>
                <w:sz w:val="26"/>
                <w:szCs w:val="26"/>
              </w:rPr>
              <w:t>TUYÊN QUANG</w:t>
            </w:r>
            <w:r w:rsidR="00464E05" w:rsidRPr="00332738">
              <w:rPr>
                <w:b/>
                <w:bCs/>
                <w:sz w:val="26"/>
                <w:szCs w:val="26"/>
                <w:lang w:val="vi-VN"/>
              </w:rPr>
              <w:br/>
            </w:r>
          </w:p>
        </w:tc>
        <w:tc>
          <w:tcPr>
            <w:tcW w:w="6125" w:type="dxa"/>
            <w:tcBorders>
              <w:top w:val="nil"/>
              <w:left w:val="nil"/>
              <w:bottom w:val="nil"/>
              <w:right w:val="nil"/>
              <w:tl2br w:val="nil"/>
              <w:tr2bl w:val="nil"/>
            </w:tcBorders>
            <w:shd w:val="clear" w:color="auto" w:fill="auto"/>
            <w:tcMar>
              <w:top w:w="0" w:type="dxa"/>
              <w:left w:w="108" w:type="dxa"/>
              <w:bottom w:w="0" w:type="dxa"/>
              <w:right w:w="108" w:type="dxa"/>
            </w:tcMar>
          </w:tcPr>
          <w:p w:rsidR="00464E05" w:rsidRDefault="003F0C47" w:rsidP="005B1283">
            <w:pPr>
              <w:spacing w:before="120"/>
              <w:jc w:val="center"/>
            </w:pPr>
            <w:r w:rsidRPr="003F0C47">
              <w:rPr>
                <w:b/>
                <w:bCs/>
                <w:noProof/>
                <w:sz w:val="26"/>
                <w:szCs w:val="26"/>
              </w:rPr>
              <w:pict>
                <v:line id="_x0000_s1030" style="position:absolute;left:0;text-align:left;z-index:251665408;mso-position-horizontal-relative:text;mso-position-vertical-relative:text" from="61.1pt,39pt" to="232.1pt,39pt"/>
              </w:pict>
            </w:r>
            <w:r w:rsidR="00464E05" w:rsidRPr="00F90430">
              <w:rPr>
                <w:b/>
                <w:bCs/>
                <w:sz w:val="26"/>
                <w:szCs w:val="26"/>
                <w:lang w:val="vi-VN"/>
              </w:rPr>
              <w:t>CỘNG HÒA XÃ HỘI CHỦ NGHĨA VIỆT NAM</w:t>
            </w:r>
            <w:r w:rsidR="00464E05">
              <w:rPr>
                <w:b/>
                <w:bCs/>
                <w:lang w:val="vi-VN"/>
              </w:rPr>
              <w:br/>
            </w:r>
            <w:r w:rsidR="00464E05" w:rsidRPr="00F90430">
              <w:rPr>
                <w:b/>
                <w:bCs/>
                <w:szCs w:val="28"/>
                <w:lang w:val="vi-VN"/>
              </w:rPr>
              <w:t xml:space="preserve">Độc lập - Tự do - Hạnh phúc </w:t>
            </w:r>
            <w:r w:rsidR="00464E05" w:rsidRPr="00F90430">
              <w:rPr>
                <w:b/>
                <w:bCs/>
                <w:szCs w:val="28"/>
                <w:lang w:val="vi-VN"/>
              </w:rPr>
              <w:br/>
            </w:r>
          </w:p>
        </w:tc>
      </w:tr>
      <w:tr w:rsidR="00464E05" w:rsidTr="00464E05">
        <w:tblPrEx>
          <w:tblBorders>
            <w:top w:val="none" w:sz="0" w:space="0" w:color="auto"/>
            <w:bottom w:val="none" w:sz="0" w:space="0" w:color="auto"/>
            <w:insideH w:val="none" w:sz="0" w:space="0" w:color="auto"/>
            <w:insideV w:val="none" w:sz="0" w:space="0" w:color="auto"/>
          </w:tblBorders>
        </w:tblPrEx>
        <w:tc>
          <w:tcPr>
            <w:tcW w:w="3231" w:type="dxa"/>
            <w:tcBorders>
              <w:top w:val="nil"/>
              <w:left w:val="nil"/>
              <w:bottom w:val="nil"/>
              <w:right w:val="nil"/>
              <w:tl2br w:val="nil"/>
              <w:tr2bl w:val="nil"/>
            </w:tcBorders>
            <w:shd w:val="clear" w:color="auto" w:fill="auto"/>
            <w:tcMar>
              <w:top w:w="0" w:type="dxa"/>
              <w:left w:w="108" w:type="dxa"/>
              <w:bottom w:w="0" w:type="dxa"/>
              <w:right w:w="108" w:type="dxa"/>
            </w:tcMar>
          </w:tcPr>
          <w:p w:rsidR="00464E05" w:rsidRPr="006504CD" w:rsidRDefault="00464E05" w:rsidP="001F523C">
            <w:pPr>
              <w:spacing w:before="120"/>
              <w:jc w:val="center"/>
              <w:rPr>
                <w:szCs w:val="28"/>
              </w:rPr>
            </w:pPr>
            <w:r w:rsidRPr="006504CD">
              <w:rPr>
                <w:szCs w:val="28"/>
                <w:lang w:val="vi-VN"/>
              </w:rPr>
              <w:t>Số:</w:t>
            </w:r>
            <w:r>
              <w:rPr>
                <w:szCs w:val="28"/>
              </w:rPr>
              <w:t xml:space="preserve"> </w:t>
            </w:r>
            <w:r w:rsidR="001F523C">
              <w:rPr>
                <w:szCs w:val="28"/>
              </w:rPr>
              <w:t>724</w:t>
            </w:r>
            <w:r w:rsidRPr="006504CD">
              <w:rPr>
                <w:szCs w:val="28"/>
                <w:lang w:val="vi-VN"/>
              </w:rPr>
              <w:t>/QĐ-UBND</w:t>
            </w:r>
          </w:p>
        </w:tc>
        <w:tc>
          <w:tcPr>
            <w:tcW w:w="6125" w:type="dxa"/>
            <w:tcBorders>
              <w:top w:val="nil"/>
              <w:left w:val="nil"/>
              <w:bottom w:val="nil"/>
              <w:right w:val="nil"/>
              <w:tl2br w:val="nil"/>
              <w:tr2bl w:val="nil"/>
            </w:tcBorders>
            <w:shd w:val="clear" w:color="auto" w:fill="auto"/>
            <w:tcMar>
              <w:top w:w="0" w:type="dxa"/>
              <w:left w:w="108" w:type="dxa"/>
              <w:bottom w:w="0" w:type="dxa"/>
              <w:right w:w="108" w:type="dxa"/>
            </w:tcMar>
          </w:tcPr>
          <w:p w:rsidR="00464E05" w:rsidRPr="006504CD" w:rsidRDefault="00464E05" w:rsidP="001F523C">
            <w:pPr>
              <w:spacing w:before="120"/>
              <w:jc w:val="right"/>
              <w:rPr>
                <w:szCs w:val="28"/>
              </w:rPr>
            </w:pPr>
            <w:r w:rsidRPr="006504CD">
              <w:rPr>
                <w:i/>
                <w:iCs/>
                <w:szCs w:val="28"/>
              </w:rPr>
              <w:t>Tuyên Quang</w:t>
            </w:r>
            <w:r w:rsidRPr="006504CD">
              <w:rPr>
                <w:i/>
                <w:iCs/>
                <w:szCs w:val="28"/>
                <w:lang w:val="vi-VN"/>
              </w:rPr>
              <w:t>, ngày</w:t>
            </w:r>
            <w:r w:rsidR="001F523C">
              <w:rPr>
                <w:i/>
                <w:iCs/>
                <w:szCs w:val="28"/>
              </w:rPr>
              <w:t xml:space="preserve"> 22</w:t>
            </w:r>
            <w:r w:rsidRPr="006504CD">
              <w:rPr>
                <w:i/>
                <w:iCs/>
                <w:szCs w:val="28"/>
              </w:rPr>
              <w:t xml:space="preserve"> </w:t>
            </w:r>
            <w:r w:rsidRPr="006504CD">
              <w:rPr>
                <w:i/>
                <w:iCs/>
                <w:szCs w:val="28"/>
                <w:lang w:val="vi-VN"/>
              </w:rPr>
              <w:t xml:space="preserve">tháng </w:t>
            </w:r>
            <w:r>
              <w:rPr>
                <w:i/>
                <w:iCs/>
                <w:szCs w:val="28"/>
              </w:rPr>
              <w:t xml:space="preserve">6 </w:t>
            </w:r>
            <w:r w:rsidRPr="006504CD">
              <w:rPr>
                <w:i/>
                <w:iCs/>
                <w:szCs w:val="28"/>
                <w:lang w:val="vi-VN"/>
              </w:rPr>
              <w:t xml:space="preserve"> năm 20</w:t>
            </w:r>
            <w:r>
              <w:rPr>
                <w:i/>
                <w:iCs/>
                <w:szCs w:val="28"/>
              </w:rPr>
              <w:t>20</w:t>
            </w:r>
          </w:p>
        </w:tc>
      </w:tr>
    </w:tbl>
    <w:p w:rsidR="00464E05" w:rsidRPr="00464E05" w:rsidRDefault="00464E05" w:rsidP="00464E05">
      <w:pPr>
        <w:spacing w:before="120" w:after="100" w:afterAutospacing="1"/>
        <w:rPr>
          <w:sz w:val="16"/>
          <w:szCs w:val="16"/>
        </w:rPr>
      </w:pPr>
      <w:r>
        <w:rPr>
          <w:lang w:val="vi-VN"/>
        </w:rPr>
        <w:t> </w:t>
      </w:r>
    </w:p>
    <w:p w:rsidR="00464E05" w:rsidRPr="00107858" w:rsidRDefault="00464E05" w:rsidP="00464E05">
      <w:pPr>
        <w:jc w:val="center"/>
        <w:rPr>
          <w:szCs w:val="28"/>
        </w:rPr>
      </w:pPr>
      <w:bookmarkStart w:id="0" w:name="loai_1"/>
      <w:r w:rsidRPr="00107858">
        <w:rPr>
          <w:b/>
          <w:bCs/>
          <w:szCs w:val="28"/>
          <w:lang w:val="vi-VN"/>
        </w:rPr>
        <w:t>QUYẾT ĐỊNH</w:t>
      </w:r>
      <w:bookmarkEnd w:id="0"/>
    </w:p>
    <w:p w:rsidR="00464E05" w:rsidRPr="00972B4A" w:rsidRDefault="00464E05" w:rsidP="00464E05">
      <w:pPr>
        <w:widowControl w:val="0"/>
        <w:contextualSpacing/>
        <w:jc w:val="center"/>
        <w:rPr>
          <w:rFonts w:cs="Times New Roman"/>
          <w:b/>
          <w:szCs w:val="28"/>
        </w:rPr>
      </w:pPr>
      <w:r w:rsidRPr="00972B4A">
        <w:rPr>
          <w:rFonts w:cs="Times New Roman"/>
          <w:b/>
          <w:szCs w:val="28"/>
        </w:rPr>
        <w:t xml:space="preserve"> Về việc công bố Danh mục thủ tục hành chính được sửa đổi, bổ sung</w:t>
      </w:r>
    </w:p>
    <w:p w:rsidR="00464E05" w:rsidRPr="00972B4A" w:rsidRDefault="00464E05" w:rsidP="00464E05">
      <w:pPr>
        <w:widowControl w:val="0"/>
        <w:contextualSpacing/>
        <w:jc w:val="center"/>
        <w:rPr>
          <w:rFonts w:cs="Times New Roman"/>
          <w:b/>
          <w:szCs w:val="28"/>
        </w:rPr>
      </w:pPr>
      <w:r w:rsidRPr="00972B4A">
        <w:rPr>
          <w:rFonts w:cs="Times New Roman"/>
          <w:b/>
          <w:szCs w:val="28"/>
        </w:rPr>
        <w:t xml:space="preserve">lĩnh vực đăng ký biện pháp bảo đảm thuộc phạm vi chức năng quản lý </w:t>
      </w:r>
    </w:p>
    <w:p w:rsidR="00464E05" w:rsidRPr="00972B4A" w:rsidRDefault="00464E05" w:rsidP="00464E05">
      <w:pPr>
        <w:widowControl w:val="0"/>
        <w:contextualSpacing/>
        <w:jc w:val="center"/>
        <w:rPr>
          <w:rFonts w:cs="Times New Roman"/>
          <w:b/>
          <w:szCs w:val="28"/>
        </w:rPr>
      </w:pPr>
      <w:r w:rsidRPr="00972B4A">
        <w:rPr>
          <w:rFonts w:cs="Times New Roman"/>
          <w:b/>
          <w:szCs w:val="28"/>
        </w:rPr>
        <w:t>của Sở Tài nguyên và Môi trường tỉnh Tuyên Quang</w:t>
      </w:r>
    </w:p>
    <w:p w:rsidR="00464E05" w:rsidRDefault="003F0C47" w:rsidP="00464E05">
      <w:pPr>
        <w:spacing w:before="120"/>
        <w:jc w:val="center"/>
        <w:rPr>
          <w:b/>
          <w:szCs w:val="28"/>
        </w:rPr>
      </w:pPr>
      <w:r>
        <w:rPr>
          <w:b/>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183.45pt;margin-top:1.25pt;width:96pt;height:0;z-index:251666432" o:connectortype="straight"/>
        </w:pict>
      </w:r>
    </w:p>
    <w:p w:rsidR="0095039E" w:rsidRPr="00464E05" w:rsidRDefault="0095039E" w:rsidP="00D95785">
      <w:pPr>
        <w:spacing w:before="240" w:after="360" w:line="320" w:lineRule="exact"/>
        <w:jc w:val="center"/>
        <w:rPr>
          <w:rFonts w:cs="Times New Roman"/>
          <w:b/>
          <w:szCs w:val="28"/>
        </w:rPr>
      </w:pPr>
      <w:r w:rsidRPr="00464E05">
        <w:rPr>
          <w:rFonts w:cs="Times New Roman"/>
          <w:b/>
          <w:szCs w:val="28"/>
        </w:rPr>
        <w:t>CHỦ TỊCH ỦY BAN NHÂN DÂN TỈNH</w:t>
      </w:r>
    </w:p>
    <w:p w:rsidR="0095039E" w:rsidRPr="00464E05" w:rsidRDefault="0095039E" w:rsidP="0095039E">
      <w:pPr>
        <w:spacing w:before="80" w:after="80" w:line="340" w:lineRule="atLeast"/>
        <w:ind w:firstLine="567"/>
        <w:jc w:val="both"/>
        <w:rPr>
          <w:rFonts w:cs="Times New Roman"/>
          <w:i/>
          <w:spacing w:val="-6"/>
          <w:szCs w:val="28"/>
        </w:rPr>
      </w:pPr>
      <w:r w:rsidRPr="00464E05">
        <w:rPr>
          <w:rFonts w:cs="Times New Roman"/>
          <w:i/>
          <w:spacing w:val="-6"/>
          <w:szCs w:val="28"/>
        </w:rPr>
        <w:t>Căn cứ Luật Tổ chức chính quyền địa phương ngày 19/6/2015;</w:t>
      </w:r>
    </w:p>
    <w:p w:rsidR="00D95785" w:rsidRPr="00464E05" w:rsidRDefault="0095039E" w:rsidP="00D95785">
      <w:pPr>
        <w:widowControl w:val="0"/>
        <w:spacing w:before="80" w:after="80" w:line="340" w:lineRule="atLeast"/>
        <w:ind w:firstLine="567"/>
        <w:contextualSpacing/>
        <w:jc w:val="both"/>
        <w:rPr>
          <w:rFonts w:cs="Times New Roman"/>
          <w:i/>
          <w:spacing w:val="-2"/>
        </w:rPr>
      </w:pPr>
      <w:r w:rsidRPr="00464E05">
        <w:rPr>
          <w:rFonts w:cs="Times New Roman"/>
          <w:i/>
        </w:rPr>
        <w:t xml:space="preserve">Căn cứ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w:t>
      </w:r>
      <w:r w:rsidRPr="00464E05">
        <w:rPr>
          <w:rFonts w:cs="Times New Roman"/>
          <w:i/>
          <w:spacing w:val="-2"/>
        </w:rPr>
        <w:t>Nghị định số 92/2017/NĐ-CP ngày 07/8/2017 của Chính phủ sửa đổi, bổ sung một số điều của các nghị định liên quan đến kiểm soát thủ tục hành chính;</w:t>
      </w:r>
    </w:p>
    <w:p w:rsidR="00D95785" w:rsidRPr="00464E05" w:rsidRDefault="00D95785" w:rsidP="00D95785">
      <w:pPr>
        <w:widowControl w:val="0"/>
        <w:spacing w:before="80" w:after="80" w:line="340" w:lineRule="atLeast"/>
        <w:ind w:firstLine="567"/>
        <w:contextualSpacing/>
        <w:jc w:val="both"/>
        <w:rPr>
          <w:rFonts w:eastAsia="Calibri" w:cs="Times New Roman"/>
          <w:i/>
        </w:rPr>
      </w:pPr>
      <w:r w:rsidRPr="00464E05">
        <w:rPr>
          <w:rFonts w:eastAsia="Calibri" w:cs="Times New Roman"/>
          <w:i/>
          <w:color w:val="000000"/>
          <w:szCs w:val="28"/>
        </w:rPr>
        <w:t xml:space="preserve">Căn cứ </w:t>
      </w:r>
      <w:r w:rsidRPr="00464E05">
        <w:rPr>
          <w:rFonts w:eastAsia="Calibri" w:cs="Times New Roman"/>
          <w:i/>
          <w:szCs w:val="28"/>
          <w:lang w:val="nl-NL"/>
        </w:rPr>
        <w:t xml:space="preserve">Nghị định số 61/2018/NĐ-CP ngày 23/4/2018 của Chính phủ về thực hiện cơ chế một cửa, một cửa liên thông trong giải quyết thủ tục hành chính; </w:t>
      </w:r>
      <w:r w:rsidRPr="00464E05">
        <w:rPr>
          <w:rFonts w:eastAsia="Calibri" w:cs="Times New Roman"/>
          <w:i/>
          <w:color w:val="000000"/>
          <w:szCs w:val="28"/>
        </w:rPr>
        <w:t xml:space="preserve">Thông tư số 01/2018/TT-VPCP ngày 23/11/2018 của Văn phòng Chính phủ hướng dẫn thi hành một số quy định của </w:t>
      </w:r>
      <w:r w:rsidRPr="00464E05">
        <w:rPr>
          <w:rFonts w:eastAsia="Calibri" w:cs="Times New Roman"/>
          <w:i/>
          <w:color w:val="000000"/>
          <w:szCs w:val="28"/>
          <w:lang w:val="nl-NL"/>
        </w:rPr>
        <w:t>Nghị định số 61/2018/NĐ-CP ngày 23/4/2018 của Chính phủ về thực hiện cơ chế một cửa, một cửa liên thông trong giải quyết thủ tục hành chính;</w:t>
      </w:r>
    </w:p>
    <w:p w:rsidR="0095039E" w:rsidRPr="00464E05" w:rsidRDefault="0095039E" w:rsidP="0095039E">
      <w:pPr>
        <w:spacing w:before="80" w:after="80" w:line="340" w:lineRule="atLeast"/>
        <w:ind w:firstLine="567"/>
        <w:jc w:val="both"/>
        <w:rPr>
          <w:rFonts w:cs="Times New Roman"/>
          <w:i/>
          <w:spacing w:val="4"/>
        </w:rPr>
      </w:pPr>
      <w:r w:rsidRPr="00464E05">
        <w:rPr>
          <w:rFonts w:cs="Times New Roman"/>
          <w:i/>
          <w:spacing w:val="4"/>
        </w:rPr>
        <w:t>Căn cứ Thông tư số 02/2017/TT-VPCP ngày 31/10/2017 của Bộ trưởng, Chủ nhiệm Văn phòng Chính phủ hướng dẫn về nghiệp vụ kiểm soát thủ tục hành chính;</w:t>
      </w:r>
    </w:p>
    <w:p w:rsidR="00D95785" w:rsidRPr="00464E05" w:rsidRDefault="0095039E" w:rsidP="00D95785">
      <w:pPr>
        <w:spacing w:before="80" w:after="80" w:line="340" w:lineRule="atLeast"/>
        <w:ind w:firstLine="567"/>
        <w:jc w:val="both"/>
        <w:rPr>
          <w:rFonts w:cs="Times New Roman"/>
          <w:i/>
        </w:rPr>
      </w:pPr>
      <w:r w:rsidRPr="00464E05">
        <w:rPr>
          <w:rFonts w:cs="Times New Roman"/>
          <w:i/>
        </w:rPr>
        <w:t>Căn cứ Quyết định số 45/2016/QĐ-TTg ngày 19/10/2016 của Thủ tướng Chính phủ về việc tiếp nhận hồ sơ, trả kết quả giải quyết thủ tục hành chính qua dịch vụ bưu chính công ích;</w:t>
      </w:r>
    </w:p>
    <w:p w:rsidR="00726D72" w:rsidRPr="00464E05" w:rsidRDefault="00726D72" w:rsidP="00D95785">
      <w:pPr>
        <w:spacing w:before="80" w:after="80" w:line="340" w:lineRule="atLeast"/>
        <w:ind w:firstLine="567"/>
        <w:jc w:val="both"/>
        <w:rPr>
          <w:rFonts w:cs="Times New Roman"/>
          <w:i/>
        </w:rPr>
      </w:pPr>
      <w:r w:rsidRPr="00464E05">
        <w:rPr>
          <w:rFonts w:cs="Times New Roman"/>
          <w:bCs/>
          <w:i/>
          <w:spacing w:val="-4"/>
          <w:szCs w:val="28"/>
        </w:rPr>
        <w:t xml:space="preserve">Căn cứ Quyết định số 1183/QĐ-BTP ngày 20/5/2020 của Bộ trưởng Bộ Tư pháp </w:t>
      </w:r>
      <w:r w:rsidR="00D66A4C" w:rsidRPr="00464E05">
        <w:rPr>
          <w:rFonts w:cs="Times New Roman"/>
          <w:bCs/>
          <w:i/>
          <w:spacing w:val="-4"/>
          <w:szCs w:val="28"/>
        </w:rPr>
        <w:t>về việc</w:t>
      </w:r>
      <w:r w:rsidRPr="00464E05">
        <w:rPr>
          <w:rFonts w:cs="Times New Roman"/>
          <w:bCs/>
          <w:i/>
          <w:spacing w:val="-4"/>
          <w:szCs w:val="28"/>
        </w:rPr>
        <w:t xml:space="preserve"> công bố thủ tục hành chính </w:t>
      </w:r>
      <w:r w:rsidR="00D66A4C" w:rsidRPr="00464E05">
        <w:rPr>
          <w:rFonts w:cs="Times New Roman"/>
          <w:bCs/>
          <w:i/>
          <w:spacing w:val="-4"/>
          <w:szCs w:val="28"/>
        </w:rPr>
        <w:t xml:space="preserve">được sửa đổi, bổ sung trong lĩnh vực </w:t>
      </w:r>
      <w:r w:rsidRPr="00464E05">
        <w:rPr>
          <w:rFonts w:cs="Times New Roman"/>
          <w:bCs/>
          <w:i/>
          <w:spacing w:val="-4"/>
          <w:szCs w:val="28"/>
        </w:rPr>
        <w:t>đăng ký biện pháp bảo đảm thuộc phạm vi chức năng quản lý của Bộ Tư pháp;</w:t>
      </w:r>
    </w:p>
    <w:p w:rsidR="0095039E" w:rsidRPr="00464E05" w:rsidRDefault="0095039E" w:rsidP="004912DC">
      <w:pPr>
        <w:widowControl w:val="0"/>
        <w:spacing w:before="80" w:after="80" w:line="340" w:lineRule="atLeast"/>
        <w:ind w:firstLine="567"/>
        <w:contextualSpacing/>
        <w:jc w:val="both"/>
        <w:rPr>
          <w:rFonts w:cs="Times New Roman"/>
          <w:b/>
          <w:sz w:val="10"/>
          <w:szCs w:val="10"/>
        </w:rPr>
      </w:pPr>
      <w:r w:rsidRPr="00464E05">
        <w:rPr>
          <w:rFonts w:cs="Times New Roman"/>
          <w:bCs/>
          <w:i/>
          <w:spacing w:val="-2"/>
          <w:szCs w:val="28"/>
        </w:rPr>
        <w:t xml:space="preserve">Xét đề nghị của Giám đốc Sở </w:t>
      </w:r>
      <w:r w:rsidRPr="00464E05">
        <w:rPr>
          <w:rFonts w:cs="Times New Roman"/>
          <w:i/>
          <w:iCs/>
          <w:szCs w:val="28"/>
        </w:rPr>
        <w:t>Tài nguyên và Môi trường.</w:t>
      </w:r>
    </w:p>
    <w:p w:rsidR="0095039E" w:rsidRPr="00464E05" w:rsidRDefault="0095039E" w:rsidP="00A553DC">
      <w:pPr>
        <w:spacing w:before="360" w:after="240"/>
        <w:jc w:val="center"/>
        <w:rPr>
          <w:rFonts w:cs="Times New Roman"/>
          <w:b/>
          <w:szCs w:val="28"/>
        </w:rPr>
      </w:pPr>
      <w:r w:rsidRPr="00464E05">
        <w:rPr>
          <w:rFonts w:cs="Times New Roman"/>
          <w:b/>
          <w:szCs w:val="28"/>
        </w:rPr>
        <w:t xml:space="preserve">QUYẾT ĐỊNH: </w:t>
      </w:r>
    </w:p>
    <w:p w:rsidR="0095039E" w:rsidRPr="00464E05" w:rsidRDefault="0095039E" w:rsidP="0095039E">
      <w:pPr>
        <w:spacing w:before="80" w:after="80" w:line="340" w:lineRule="atLeast"/>
        <w:ind w:firstLine="567"/>
        <w:jc w:val="both"/>
        <w:rPr>
          <w:rFonts w:cs="Times New Roman"/>
        </w:rPr>
      </w:pPr>
      <w:r w:rsidRPr="00464E05">
        <w:rPr>
          <w:rFonts w:cs="Times New Roman"/>
          <w:b/>
          <w:szCs w:val="28"/>
        </w:rPr>
        <w:t>Điều 1.</w:t>
      </w:r>
      <w:r w:rsidRPr="00464E05">
        <w:rPr>
          <w:rFonts w:cs="Times New Roman"/>
          <w:spacing w:val="-4"/>
          <w:szCs w:val="28"/>
        </w:rPr>
        <w:t xml:space="preserve">Công bố kèm theo Quyết định này </w:t>
      </w:r>
      <w:r w:rsidRPr="00464E05">
        <w:rPr>
          <w:rFonts w:cs="Times New Roman"/>
        </w:rPr>
        <w:t>Danh mụ</w:t>
      </w:r>
      <w:r w:rsidR="0047277B" w:rsidRPr="00464E05">
        <w:rPr>
          <w:rFonts w:cs="Times New Roman"/>
        </w:rPr>
        <w:t>c 09</w:t>
      </w:r>
      <w:r w:rsidRPr="00464E05">
        <w:rPr>
          <w:rFonts w:cs="Times New Roman"/>
        </w:rPr>
        <w:t xml:space="preserve"> thủ tục hành chính được sửa đổi, bổ sung lĩnh</w:t>
      </w:r>
      <w:r w:rsidR="0047277B" w:rsidRPr="00464E05">
        <w:rPr>
          <w:rFonts w:cs="Times New Roman"/>
        </w:rPr>
        <w:t xml:space="preserve"> vực</w:t>
      </w:r>
      <w:r w:rsidR="004D0509" w:rsidRPr="00464E05">
        <w:rPr>
          <w:rFonts w:cs="Times New Roman"/>
        </w:rPr>
        <w:t xml:space="preserve"> </w:t>
      </w:r>
      <w:r w:rsidR="0047277B" w:rsidRPr="00464E05">
        <w:rPr>
          <w:rFonts w:cs="Times New Roman"/>
          <w:szCs w:val="28"/>
          <w:lang w:val="nl-NL"/>
        </w:rPr>
        <w:t>đăng ký biện pháp bảo đảm</w:t>
      </w:r>
      <w:r w:rsidR="004D0509" w:rsidRPr="00464E05">
        <w:rPr>
          <w:rFonts w:cs="Times New Roman"/>
          <w:szCs w:val="28"/>
          <w:lang w:val="nl-NL"/>
        </w:rPr>
        <w:t xml:space="preserve"> </w:t>
      </w:r>
      <w:r w:rsidRPr="00464E05">
        <w:rPr>
          <w:rFonts w:cs="Times New Roman"/>
        </w:rPr>
        <w:t>thuộc phạm vi chức năng quản lý của Sở Tài nguyên và Môi trường tỉnh Tuyên Quang.</w:t>
      </w:r>
    </w:p>
    <w:p w:rsidR="0095039E" w:rsidRPr="00464E05" w:rsidRDefault="0095039E" w:rsidP="0095039E">
      <w:pPr>
        <w:spacing w:before="80" w:after="80" w:line="340" w:lineRule="atLeast"/>
        <w:ind w:firstLine="567"/>
        <w:jc w:val="center"/>
        <w:rPr>
          <w:rFonts w:cs="Times New Roman"/>
          <w:i/>
          <w:spacing w:val="-4"/>
          <w:szCs w:val="28"/>
        </w:rPr>
      </w:pPr>
      <w:r w:rsidRPr="00464E05">
        <w:rPr>
          <w:rFonts w:cs="Times New Roman"/>
          <w:i/>
          <w:spacing w:val="-4"/>
          <w:szCs w:val="28"/>
        </w:rPr>
        <w:lastRenderedPageBreak/>
        <w:t>(có Danh mục 0</w:t>
      </w:r>
      <w:r w:rsidR="00C554BF" w:rsidRPr="00464E05">
        <w:rPr>
          <w:rFonts w:cs="Times New Roman"/>
          <w:i/>
          <w:spacing w:val="-4"/>
          <w:szCs w:val="28"/>
        </w:rPr>
        <w:t>9</w:t>
      </w:r>
      <w:r w:rsidRPr="00464E05">
        <w:rPr>
          <w:rFonts w:cs="Times New Roman"/>
          <w:i/>
          <w:spacing w:val="-4"/>
          <w:szCs w:val="28"/>
        </w:rPr>
        <w:t xml:space="preserve"> thủ tục hành chính kèm theo).</w:t>
      </w:r>
    </w:p>
    <w:p w:rsidR="0095039E" w:rsidRPr="00464E05" w:rsidRDefault="0095039E" w:rsidP="00A553DC">
      <w:pPr>
        <w:spacing w:before="120" w:after="120" w:line="340" w:lineRule="atLeast"/>
        <w:ind w:firstLine="567"/>
        <w:jc w:val="both"/>
        <w:rPr>
          <w:rFonts w:cs="Times New Roman"/>
          <w:spacing w:val="-4"/>
          <w:szCs w:val="28"/>
        </w:rPr>
      </w:pPr>
      <w:r w:rsidRPr="00464E05">
        <w:rPr>
          <w:rFonts w:cs="Times New Roman"/>
          <w:b/>
          <w:spacing w:val="-4"/>
          <w:szCs w:val="28"/>
          <w:lang w:val="vi-VN"/>
        </w:rPr>
        <w:t xml:space="preserve">Điều </w:t>
      </w:r>
      <w:r w:rsidRPr="00464E05">
        <w:rPr>
          <w:rFonts w:cs="Times New Roman"/>
          <w:b/>
          <w:spacing w:val="-4"/>
          <w:szCs w:val="28"/>
        </w:rPr>
        <w:t>2</w:t>
      </w:r>
      <w:r w:rsidRPr="00464E05">
        <w:rPr>
          <w:rFonts w:cs="Times New Roman"/>
          <w:b/>
          <w:spacing w:val="-4"/>
          <w:szCs w:val="28"/>
          <w:lang w:val="vi-VN"/>
        </w:rPr>
        <w:t>.</w:t>
      </w:r>
      <w:r w:rsidRPr="00464E05">
        <w:rPr>
          <w:rFonts w:cs="Times New Roman"/>
          <w:spacing w:val="-4"/>
          <w:szCs w:val="28"/>
        </w:rPr>
        <w:t>Giao Sở Tài nguyên và Môi trường sau khi nhận được Quyết định công bố của Chủ tịch Ủy ban nhân dân tỉnh, triển khai thực hiện các nội dung sau:</w:t>
      </w:r>
    </w:p>
    <w:p w:rsidR="0095039E" w:rsidRPr="00464E05" w:rsidRDefault="0095039E" w:rsidP="00A553DC">
      <w:pPr>
        <w:spacing w:before="120" w:after="120" w:line="340" w:lineRule="atLeast"/>
        <w:ind w:firstLine="567"/>
        <w:jc w:val="both"/>
        <w:rPr>
          <w:rFonts w:cs="Times New Roman"/>
          <w:szCs w:val="28"/>
        </w:rPr>
      </w:pPr>
      <w:r w:rsidRPr="00464E05">
        <w:rPr>
          <w:rFonts w:cs="Times New Roman"/>
          <w:szCs w:val="28"/>
        </w:rPr>
        <w:t xml:space="preserve">1. Công khai tại nơi giải quyết thủ tục hành chính và trên Trang thông tin điện tử của Sở theo quy định tại Điều 15 Thông tư số 02/2017/TT-VPCP ngày 31/10/2017 của Bộ trưởng, Chủ nhiệm Văn phòng Chính phủ. </w:t>
      </w:r>
    </w:p>
    <w:p w:rsidR="0095039E" w:rsidRPr="00464E05" w:rsidRDefault="0095039E" w:rsidP="00A553DC">
      <w:pPr>
        <w:spacing w:before="120" w:after="120" w:line="340" w:lineRule="atLeast"/>
        <w:ind w:firstLine="567"/>
        <w:jc w:val="both"/>
        <w:rPr>
          <w:rFonts w:cs="Times New Roman"/>
          <w:szCs w:val="28"/>
        </w:rPr>
      </w:pPr>
      <w:r w:rsidRPr="00464E05">
        <w:rPr>
          <w:rFonts w:cs="Times New Roman"/>
          <w:szCs w:val="28"/>
        </w:rPr>
        <w:t xml:space="preserve">2. Phối hợp với Sở Thông tin và Truyền thông thực hiện đăng tải đầy đủ </w:t>
      </w:r>
      <w:r w:rsidRPr="00464E05">
        <w:rPr>
          <w:rFonts w:cs="Times New Roman"/>
          <w:spacing w:val="-4"/>
          <w:szCs w:val="28"/>
          <w:lang w:val="nl-NL"/>
        </w:rPr>
        <w:t xml:space="preserve">Quyết định của Bộ trưởng </w:t>
      </w:r>
      <w:r w:rsidRPr="00464E05">
        <w:rPr>
          <w:rFonts w:cs="Times New Roman"/>
          <w:szCs w:val="28"/>
        </w:rPr>
        <w:t xml:space="preserve">Tài nguyên và Môi trường </w:t>
      </w:r>
      <w:r w:rsidRPr="00464E05">
        <w:rPr>
          <w:rFonts w:cs="Times New Roman"/>
          <w:spacing w:val="-2"/>
          <w:szCs w:val="28"/>
        </w:rPr>
        <w:t xml:space="preserve">nêu trên </w:t>
      </w:r>
      <w:r w:rsidRPr="00464E05">
        <w:rPr>
          <w:rFonts w:cs="Times New Roman"/>
          <w:szCs w:val="28"/>
        </w:rPr>
        <w:t>và Danh mục, nội dung cụ thể của từng thủ tục hành chính nêu tại Điều 1 Quyết định này trên Cổng thông tin điện tử của tỉnh, địa chỉ www.tuyenquang.gov.vn. </w:t>
      </w:r>
    </w:p>
    <w:p w:rsidR="0095039E" w:rsidRPr="00464E05" w:rsidRDefault="0095039E" w:rsidP="00A553DC">
      <w:pPr>
        <w:spacing w:before="120" w:after="120" w:line="340" w:lineRule="atLeast"/>
        <w:ind w:firstLine="567"/>
        <w:jc w:val="both"/>
        <w:rPr>
          <w:rFonts w:cs="Times New Roman"/>
          <w:szCs w:val="28"/>
        </w:rPr>
      </w:pPr>
      <w:r w:rsidRPr="00464E05">
        <w:rPr>
          <w:rFonts w:cs="Times New Roman"/>
          <w:szCs w:val="28"/>
        </w:rPr>
        <w:t>3. Chủ trì, phối hợp với các cơ quan, đơn vị có liên quan hoàn thiện hồ sơ, trình Chủ tịch Ủy ban nhân dân tỉnh công bố quy trình nội bộ và hoàn thiện quy trình điện tử đối với thủ tục hành chính nêu tại khoản 1, Điều 1 Quyết định này theo quy định; công khai đầy đủ nội dung của các thủ tục hành chính trên Cổng dịch vụ công Quốc gia, địa chỉ: dichvucong.gov.vn; Cổng Dịch vụ công của tỉnh, địa chỉ: dichvucong.tuyenquang.gov.vn theo quy định.</w:t>
      </w:r>
    </w:p>
    <w:p w:rsidR="0095039E" w:rsidRPr="00464E05" w:rsidRDefault="0095039E" w:rsidP="00A553DC">
      <w:pPr>
        <w:spacing w:before="120" w:after="120" w:line="340" w:lineRule="atLeast"/>
        <w:ind w:firstLine="567"/>
        <w:jc w:val="both"/>
        <w:rPr>
          <w:rFonts w:cs="Times New Roman"/>
          <w:szCs w:val="28"/>
          <w:lang w:val="vi-VN"/>
        </w:rPr>
      </w:pPr>
      <w:r w:rsidRPr="00464E05">
        <w:rPr>
          <w:rFonts w:cs="Times New Roman"/>
          <w:b/>
          <w:szCs w:val="28"/>
          <w:lang w:val="vi-VN"/>
        </w:rPr>
        <w:t xml:space="preserve">Điều </w:t>
      </w:r>
      <w:r w:rsidRPr="00464E05">
        <w:rPr>
          <w:rFonts w:cs="Times New Roman"/>
          <w:b/>
          <w:szCs w:val="28"/>
        </w:rPr>
        <w:t>3</w:t>
      </w:r>
      <w:r w:rsidRPr="00464E05">
        <w:rPr>
          <w:rFonts w:cs="Times New Roman"/>
          <w:b/>
          <w:szCs w:val="28"/>
          <w:lang w:val="vi-VN"/>
        </w:rPr>
        <w:t xml:space="preserve">. </w:t>
      </w:r>
      <w:r w:rsidRPr="00464E05">
        <w:rPr>
          <w:rFonts w:cs="Times New Roman"/>
          <w:szCs w:val="28"/>
          <w:lang w:val="vi-VN"/>
        </w:rPr>
        <w:t>Quyết định này có hiệu lực thi hành kể từ ngày ký.</w:t>
      </w:r>
    </w:p>
    <w:p w:rsidR="00297735" w:rsidRPr="00464E05" w:rsidRDefault="0095039E" w:rsidP="00A553DC">
      <w:pPr>
        <w:spacing w:before="120" w:after="120" w:line="340" w:lineRule="atLeast"/>
        <w:ind w:firstLine="567"/>
        <w:jc w:val="both"/>
        <w:rPr>
          <w:rFonts w:cs="Times New Roman"/>
          <w:spacing w:val="-4"/>
          <w:szCs w:val="28"/>
        </w:rPr>
      </w:pPr>
      <w:r w:rsidRPr="00464E05">
        <w:rPr>
          <w:rFonts w:cs="Times New Roman"/>
          <w:spacing w:val="-4"/>
          <w:szCs w:val="28"/>
          <w:lang w:val="vi-VN"/>
        </w:rPr>
        <w:t>Bãi bỏ 0</w:t>
      </w:r>
      <w:r w:rsidR="00297735" w:rsidRPr="00464E05">
        <w:rPr>
          <w:rFonts w:cs="Times New Roman"/>
          <w:spacing w:val="-4"/>
          <w:szCs w:val="28"/>
          <w:lang w:val="vi-VN"/>
        </w:rPr>
        <w:t>9</w:t>
      </w:r>
      <w:r w:rsidRPr="00464E05">
        <w:rPr>
          <w:rFonts w:cs="Times New Roman"/>
          <w:spacing w:val="-4"/>
          <w:szCs w:val="28"/>
          <w:lang w:val="vi-VN"/>
        </w:rPr>
        <w:t xml:space="preserve"> thủ tục hành chính lĩnh vực </w:t>
      </w:r>
      <w:r w:rsidR="00297735" w:rsidRPr="00464E05">
        <w:rPr>
          <w:rFonts w:cs="Times New Roman"/>
          <w:spacing w:val="-4"/>
          <w:szCs w:val="28"/>
          <w:lang w:val="vi-VN"/>
        </w:rPr>
        <w:t xml:space="preserve">đăng ký biện pháp bảo đảm thuộc phạm vi chức năng </w:t>
      </w:r>
      <w:r w:rsidRPr="00464E05">
        <w:rPr>
          <w:rFonts w:cs="Times New Roman"/>
          <w:spacing w:val="-4"/>
          <w:szCs w:val="28"/>
          <w:lang w:val="vi-VN"/>
        </w:rPr>
        <w:t xml:space="preserve">quản lý nhà nước của Sở Tài nguyên và Môi trường đã được Chủ tịch Ủy ban nhân dân tỉnh Tuyên Quang công bố </w:t>
      </w:r>
      <w:r w:rsidR="009B2CBE" w:rsidRPr="00464E05">
        <w:rPr>
          <w:rFonts w:cs="Times New Roman"/>
          <w:spacing w:val="-4"/>
          <w:szCs w:val="28"/>
          <w:lang w:val="vi-VN"/>
        </w:rPr>
        <w:t xml:space="preserve">tại </w:t>
      </w:r>
      <w:r w:rsidRPr="00464E05">
        <w:rPr>
          <w:rFonts w:cs="Times New Roman"/>
          <w:spacing w:val="-4"/>
          <w:szCs w:val="28"/>
          <w:lang w:val="vi-VN"/>
        </w:rPr>
        <w:t>Quyết định số</w:t>
      </w:r>
      <w:r w:rsidR="00297735" w:rsidRPr="00464E05">
        <w:rPr>
          <w:rFonts w:cs="Times New Roman"/>
          <w:spacing w:val="-4"/>
          <w:szCs w:val="28"/>
          <w:lang w:val="vi-VN"/>
        </w:rPr>
        <w:t xml:space="preserve"> 594/QĐ-UBND ngày 05/6</w:t>
      </w:r>
      <w:r w:rsidRPr="00464E05">
        <w:rPr>
          <w:rFonts w:cs="Times New Roman"/>
          <w:spacing w:val="-4"/>
          <w:szCs w:val="28"/>
          <w:lang w:val="vi-VN"/>
        </w:rPr>
        <w:t xml:space="preserve">/2018 về việc công bố Danh mục </w:t>
      </w:r>
      <w:r w:rsidR="00297735" w:rsidRPr="00464E05">
        <w:rPr>
          <w:rFonts w:cs="Times New Roman"/>
          <w:spacing w:val="-4"/>
          <w:szCs w:val="28"/>
          <w:lang w:val="vi-VN"/>
        </w:rPr>
        <w:t>09</w:t>
      </w:r>
      <w:r w:rsidRPr="00464E05">
        <w:rPr>
          <w:rFonts w:cs="Times New Roman"/>
          <w:spacing w:val="-4"/>
          <w:lang w:val="vi-VN"/>
        </w:rPr>
        <w:t xml:space="preserve"> thủ tục hành chính lĩnh vực </w:t>
      </w:r>
      <w:r w:rsidR="00297735" w:rsidRPr="00464E05">
        <w:rPr>
          <w:rFonts w:cs="Times New Roman"/>
          <w:spacing w:val="-4"/>
          <w:szCs w:val="28"/>
          <w:lang w:val="vi-VN"/>
        </w:rPr>
        <w:t>đăng ký biện pháp bảo đảm thuộc phạm vi chức năng quản lý nhà nước của Sở Tài nguyên và Môi trường tỉnh Tuyên Quang</w:t>
      </w:r>
      <w:r w:rsidR="004D0509" w:rsidRPr="00464E05">
        <w:rPr>
          <w:rFonts w:cs="Times New Roman"/>
          <w:spacing w:val="-4"/>
          <w:szCs w:val="28"/>
        </w:rPr>
        <w:t>.</w:t>
      </w:r>
    </w:p>
    <w:p w:rsidR="0095039E" w:rsidRPr="00464E05" w:rsidRDefault="0095039E" w:rsidP="00A553DC">
      <w:pPr>
        <w:spacing w:before="120" w:after="120" w:line="340" w:lineRule="atLeast"/>
        <w:ind w:firstLine="567"/>
        <w:jc w:val="both"/>
        <w:rPr>
          <w:rFonts w:cs="Times New Roman"/>
          <w:spacing w:val="2"/>
          <w:szCs w:val="28"/>
          <w:lang w:val="vi-VN"/>
        </w:rPr>
      </w:pPr>
      <w:r w:rsidRPr="00464E05">
        <w:rPr>
          <w:rFonts w:cs="Times New Roman"/>
          <w:b/>
          <w:szCs w:val="28"/>
          <w:lang w:val="vi-VN"/>
        </w:rPr>
        <w:t>Điều 4.</w:t>
      </w:r>
      <w:r w:rsidRPr="00464E05">
        <w:rPr>
          <w:rFonts w:cs="Times New Roman"/>
          <w:szCs w:val="28"/>
          <w:lang w:val="vi-VN"/>
        </w:rPr>
        <w:t xml:space="preserve"> Chánh Văn phòng Ủy ban nhân dân tỉnh; Giám đốc các Sở, Thủ trưởng ban, ngành; Chủ tịch Ủy ban nhân dân huyện, thành phố và các cơ quan, tổ chức, cá nhân có liên quan chịu trách nhiệm thi hành Quyết định này</w:t>
      </w:r>
      <w:r w:rsidRPr="00464E05">
        <w:rPr>
          <w:rFonts w:cs="Times New Roman"/>
          <w:spacing w:val="-4"/>
          <w:szCs w:val="28"/>
          <w:lang w:val="vi-VN"/>
        </w:rPr>
        <w:t>./.</w:t>
      </w:r>
    </w:p>
    <w:tbl>
      <w:tblPr>
        <w:tblW w:w="9374" w:type="dxa"/>
        <w:tblLook w:val="01E0"/>
      </w:tblPr>
      <w:tblGrid>
        <w:gridCol w:w="4361"/>
        <w:gridCol w:w="5013"/>
      </w:tblGrid>
      <w:tr w:rsidR="0095039E" w:rsidRPr="00464E05" w:rsidTr="00816E8E">
        <w:trPr>
          <w:trHeight w:val="2560"/>
        </w:trPr>
        <w:tc>
          <w:tcPr>
            <w:tcW w:w="4361" w:type="dxa"/>
          </w:tcPr>
          <w:p w:rsidR="0095039E" w:rsidRPr="00464E05" w:rsidRDefault="0095039E" w:rsidP="00422AC3">
            <w:pPr>
              <w:spacing w:before="600"/>
              <w:jc w:val="both"/>
              <w:rPr>
                <w:rFonts w:cs="Times New Roman"/>
                <w:b/>
                <w:bCs/>
                <w:i/>
                <w:sz w:val="22"/>
                <w:lang w:val="vi-VN"/>
              </w:rPr>
            </w:pPr>
            <w:r w:rsidRPr="00464E05">
              <w:rPr>
                <w:rFonts w:cs="Times New Roman"/>
                <w:b/>
                <w:bCs/>
                <w:i/>
                <w:iCs/>
                <w:sz w:val="22"/>
                <w:lang w:val="vi-VN"/>
              </w:rPr>
              <w:t>Nơi nhận:</w:t>
            </w:r>
            <w:r w:rsidRPr="00464E05">
              <w:rPr>
                <w:rFonts w:cs="Times New Roman"/>
                <w:b/>
                <w:bCs/>
                <w:i/>
                <w:sz w:val="22"/>
                <w:lang w:val="vi-VN"/>
              </w:rPr>
              <w:tab/>
            </w:r>
            <w:r w:rsidRPr="00464E05">
              <w:rPr>
                <w:rFonts w:cs="Times New Roman"/>
                <w:b/>
                <w:bCs/>
                <w:i/>
                <w:sz w:val="22"/>
                <w:lang w:val="vi-VN"/>
              </w:rPr>
              <w:tab/>
            </w:r>
          </w:p>
          <w:p w:rsidR="0095039E" w:rsidRPr="00464E05" w:rsidRDefault="0095039E" w:rsidP="00816E8E">
            <w:pPr>
              <w:contextualSpacing/>
              <w:jc w:val="both"/>
              <w:rPr>
                <w:rFonts w:cs="Times New Roman"/>
                <w:b/>
                <w:bCs/>
                <w:sz w:val="22"/>
                <w:lang w:val="vi-VN"/>
              </w:rPr>
            </w:pPr>
            <w:r w:rsidRPr="00464E05">
              <w:rPr>
                <w:rFonts w:cs="Times New Roman"/>
                <w:sz w:val="22"/>
                <w:lang w:val="nl-NL"/>
              </w:rPr>
              <w:t>- Cục KSTTHC-VPCP; (báo cáo)</w:t>
            </w:r>
          </w:p>
          <w:p w:rsidR="0095039E" w:rsidRPr="00464E05" w:rsidRDefault="0095039E" w:rsidP="00816E8E">
            <w:pPr>
              <w:contextualSpacing/>
              <w:jc w:val="both"/>
              <w:rPr>
                <w:rFonts w:cs="Times New Roman"/>
                <w:sz w:val="22"/>
                <w:lang w:val="nl-NL"/>
              </w:rPr>
            </w:pPr>
            <w:r w:rsidRPr="00464E05">
              <w:rPr>
                <w:rFonts w:cs="Times New Roman"/>
                <w:sz w:val="22"/>
                <w:lang w:val="nl-NL"/>
              </w:rPr>
              <w:t>- Chủ tịch UBND tỉnh;</w:t>
            </w:r>
          </w:p>
          <w:p w:rsidR="0095039E" w:rsidRPr="00464E05" w:rsidRDefault="0095039E" w:rsidP="00816E8E">
            <w:pPr>
              <w:contextualSpacing/>
              <w:jc w:val="both"/>
              <w:rPr>
                <w:rFonts w:cs="Times New Roman"/>
                <w:sz w:val="22"/>
                <w:lang w:val="nl-NL"/>
              </w:rPr>
            </w:pPr>
            <w:r w:rsidRPr="00464E05">
              <w:rPr>
                <w:rFonts w:cs="Times New Roman"/>
                <w:sz w:val="22"/>
                <w:lang w:val="nl-NL"/>
              </w:rPr>
              <w:t>- Các PCT UBND tỉnh;</w:t>
            </w:r>
          </w:p>
          <w:p w:rsidR="0095039E" w:rsidRPr="00464E05" w:rsidRDefault="0095039E" w:rsidP="00816E8E">
            <w:pPr>
              <w:contextualSpacing/>
              <w:jc w:val="both"/>
              <w:rPr>
                <w:rFonts w:cs="Times New Roman"/>
                <w:sz w:val="22"/>
                <w:lang w:val="nl-NL"/>
              </w:rPr>
            </w:pPr>
            <w:r w:rsidRPr="00464E05">
              <w:rPr>
                <w:rFonts w:cs="Times New Roman"/>
                <w:sz w:val="22"/>
                <w:lang w:val="nl-NL"/>
              </w:rPr>
              <w:t xml:space="preserve">- Như </w:t>
            </w:r>
            <w:r w:rsidR="00646AD6" w:rsidRPr="00464E05">
              <w:rPr>
                <w:rFonts w:cs="Times New Roman"/>
                <w:sz w:val="22"/>
                <w:lang w:val="nl-NL"/>
              </w:rPr>
              <w:t>Đ</w:t>
            </w:r>
            <w:r w:rsidRPr="00464E05">
              <w:rPr>
                <w:rFonts w:cs="Times New Roman"/>
                <w:sz w:val="22"/>
                <w:lang w:val="nl-NL"/>
              </w:rPr>
              <w:t>iều 4; (thực hiện)</w:t>
            </w:r>
          </w:p>
          <w:p w:rsidR="0095039E" w:rsidRPr="00464E05" w:rsidRDefault="0095039E" w:rsidP="00816E8E">
            <w:pPr>
              <w:contextualSpacing/>
              <w:jc w:val="both"/>
              <w:rPr>
                <w:rFonts w:cs="Times New Roman"/>
                <w:sz w:val="22"/>
                <w:lang w:val="nl-NL"/>
              </w:rPr>
            </w:pPr>
            <w:r w:rsidRPr="00464E05">
              <w:rPr>
                <w:rFonts w:cs="Times New Roman"/>
                <w:sz w:val="22"/>
                <w:lang w:val="nl-NL"/>
              </w:rPr>
              <w:t>- CVP, các PCVP UBND tỉnh;</w:t>
            </w:r>
          </w:p>
          <w:p w:rsidR="0095039E" w:rsidRPr="00464E05" w:rsidRDefault="0095039E" w:rsidP="00816E8E">
            <w:pPr>
              <w:contextualSpacing/>
              <w:jc w:val="both"/>
              <w:rPr>
                <w:rFonts w:cs="Times New Roman"/>
                <w:sz w:val="22"/>
                <w:lang w:val="nl-NL"/>
              </w:rPr>
            </w:pPr>
            <w:r w:rsidRPr="00464E05">
              <w:rPr>
                <w:rFonts w:cs="Times New Roman"/>
                <w:sz w:val="22"/>
                <w:lang w:val="nl-NL"/>
              </w:rPr>
              <w:t>- Sở Thông tin và truyền thông;</w:t>
            </w:r>
          </w:p>
          <w:p w:rsidR="0095039E" w:rsidRPr="00464E05" w:rsidRDefault="0095039E" w:rsidP="00816E8E">
            <w:pPr>
              <w:contextualSpacing/>
              <w:jc w:val="both"/>
              <w:rPr>
                <w:rFonts w:cs="Times New Roman"/>
                <w:sz w:val="22"/>
                <w:lang w:val="nl-NL"/>
              </w:rPr>
            </w:pPr>
            <w:r w:rsidRPr="00464E05">
              <w:rPr>
                <w:rFonts w:cs="Times New Roman"/>
                <w:sz w:val="22"/>
                <w:lang w:val="nl-NL"/>
              </w:rPr>
              <w:t>- Bưu điện tỉnh;</w:t>
            </w:r>
          </w:p>
          <w:p w:rsidR="0095039E" w:rsidRPr="00464E05" w:rsidRDefault="0095039E" w:rsidP="00816E8E">
            <w:pPr>
              <w:contextualSpacing/>
              <w:jc w:val="both"/>
              <w:rPr>
                <w:rFonts w:cs="Times New Roman"/>
                <w:sz w:val="22"/>
                <w:lang w:val="nl-NL"/>
              </w:rPr>
            </w:pPr>
            <w:r w:rsidRPr="00464E05">
              <w:rPr>
                <w:rFonts w:cs="Times New Roman"/>
                <w:sz w:val="22"/>
                <w:lang w:val="nl-NL"/>
              </w:rPr>
              <w:t>- Viễn thông Tuyên Quang;</w:t>
            </w:r>
          </w:p>
          <w:p w:rsidR="0095039E" w:rsidRPr="00464E05" w:rsidRDefault="0095039E" w:rsidP="00816E8E">
            <w:pPr>
              <w:contextualSpacing/>
              <w:jc w:val="both"/>
              <w:rPr>
                <w:rFonts w:cs="Times New Roman"/>
                <w:sz w:val="22"/>
                <w:lang w:val="nl-NL"/>
              </w:rPr>
            </w:pPr>
            <w:r w:rsidRPr="00464E05">
              <w:rPr>
                <w:rFonts w:cs="Times New Roman"/>
                <w:sz w:val="22"/>
                <w:lang w:val="nl-NL"/>
              </w:rPr>
              <w:t>- Cổng thông tin điện tử tỉnh; (đăng tải)</w:t>
            </w:r>
          </w:p>
          <w:p w:rsidR="00DA1A3B" w:rsidRPr="00464E05" w:rsidRDefault="0095039E" w:rsidP="00DA1A3B">
            <w:pPr>
              <w:contextualSpacing/>
              <w:jc w:val="both"/>
              <w:rPr>
                <w:rFonts w:cs="Times New Roman"/>
                <w:spacing w:val="-14"/>
                <w:sz w:val="22"/>
                <w:lang w:val="nl-NL"/>
              </w:rPr>
            </w:pPr>
            <w:r w:rsidRPr="00464E05">
              <w:rPr>
                <w:rFonts w:cs="Times New Roman"/>
                <w:spacing w:val="-14"/>
                <w:sz w:val="22"/>
                <w:lang w:val="nl-NL"/>
              </w:rPr>
              <w:t>- Phòng Tin học - Công báo</w:t>
            </w:r>
            <w:r w:rsidR="00DA1A3B" w:rsidRPr="00464E05">
              <w:rPr>
                <w:rFonts w:cs="Times New Roman"/>
                <w:spacing w:val="-14"/>
                <w:sz w:val="22"/>
                <w:lang w:val="nl-NL"/>
              </w:rPr>
              <w:t>;</w:t>
            </w:r>
          </w:p>
          <w:p w:rsidR="0095039E" w:rsidRPr="00464E05" w:rsidRDefault="0095039E" w:rsidP="00DA1A3B">
            <w:pPr>
              <w:contextualSpacing/>
              <w:jc w:val="both"/>
              <w:rPr>
                <w:rFonts w:cs="Times New Roman"/>
                <w:sz w:val="18"/>
                <w:szCs w:val="18"/>
                <w:lang w:val="nl-NL"/>
              </w:rPr>
            </w:pPr>
            <w:r w:rsidRPr="00464E05">
              <w:rPr>
                <w:rFonts w:cs="Times New Roman"/>
                <w:sz w:val="22"/>
                <w:lang w:val="nl-NL"/>
              </w:rPr>
              <w:t>- Lưu: VT, KSTTHC</w:t>
            </w:r>
            <w:r w:rsidR="0054756C" w:rsidRPr="00464E05">
              <w:rPr>
                <w:rFonts w:cs="Times New Roman"/>
                <w:sz w:val="16"/>
                <w:szCs w:val="16"/>
                <w:lang w:val="nl-NL"/>
              </w:rPr>
              <w:t>Nhung</w:t>
            </w:r>
          </w:p>
        </w:tc>
        <w:tc>
          <w:tcPr>
            <w:tcW w:w="5013" w:type="dxa"/>
          </w:tcPr>
          <w:p w:rsidR="0095039E" w:rsidRPr="00464E05" w:rsidRDefault="00422AC3" w:rsidP="00422AC3">
            <w:pPr>
              <w:spacing w:before="240"/>
              <w:jc w:val="center"/>
              <w:rPr>
                <w:rFonts w:cs="Times New Roman"/>
                <w:b/>
                <w:bCs/>
                <w:szCs w:val="28"/>
                <w:lang w:val="nl-NL"/>
              </w:rPr>
            </w:pPr>
            <w:r w:rsidRPr="00464E05">
              <w:rPr>
                <w:rFonts w:cs="Times New Roman"/>
                <w:b/>
                <w:bCs/>
                <w:szCs w:val="28"/>
                <w:lang w:val="nl-NL"/>
              </w:rPr>
              <w:t xml:space="preserve">KT. </w:t>
            </w:r>
            <w:r w:rsidR="0095039E" w:rsidRPr="00464E05">
              <w:rPr>
                <w:rFonts w:cs="Times New Roman"/>
                <w:b/>
                <w:bCs/>
                <w:szCs w:val="28"/>
                <w:lang w:val="nl-NL"/>
              </w:rPr>
              <w:t>CHỦ TỊCH</w:t>
            </w:r>
          </w:p>
          <w:p w:rsidR="00422AC3" w:rsidRPr="00464E05" w:rsidRDefault="00422AC3" w:rsidP="00422AC3">
            <w:pPr>
              <w:jc w:val="center"/>
              <w:rPr>
                <w:rFonts w:cs="Times New Roman"/>
                <w:b/>
                <w:bCs/>
                <w:szCs w:val="28"/>
                <w:lang w:val="nl-NL"/>
              </w:rPr>
            </w:pPr>
            <w:r w:rsidRPr="00464E05">
              <w:rPr>
                <w:rFonts w:cs="Times New Roman"/>
                <w:b/>
                <w:bCs/>
                <w:szCs w:val="28"/>
                <w:lang w:val="nl-NL"/>
              </w:rPr>
              <w:t>PHÓ CHỦ TỊCH</w:t>
            </w:r>
          </w:p>
          <w:p w:rsidR="0095039E" w:rsidRPr="00464E05" w:rsidRDefault="0095039E" w:rsidP="00816E8E">
            <w:pPr>
              <w:ind w:left="-96"/>
              <w:jc w:val="center"/>
              <w:rPr>
                <w:rFonts w:cs="Times New Roman"/>
                <w:i/>
                <w:iCs/>
                <w:szCs w:val="28"/>
                <w:lang w:val="nl-NL"/>
              </w:rPr>
            </w:pPr>
            <w:r w:rsidRPr="00464E05">
              <w:rPr>
                <w:rFonts w:cs="Times New Roman"/>
                <w:i/>
                <w:iCs/>
                <w:szCs w:val="28"/>
                <w:lang w:val="nl-NL"/>
              </w:rPr>
              <w:br/>
            </w:r>
          </w:p>
          <w:p w:rsidR="00223457" w:rsidRPr="00464E05" w:rsidRDefault="00464E05" w:rsidP="00816E8E">
            <w:pPr>
              <w:spacing w:before="600"/>
              <w:jc w:val="center"/>
              <w:rPr>
                <w:rFonts w:cs="Times New Roman"/>
                <w:i/>
                <w:iCs/>
                <w:szCs w:val="28"/>
                <w:lang w:val="nl-NL"/>
              </w:rPr>
            </w:pPr>
            <w:r w:rsidRPr="00464E05">
              <w:rPr>
                <w:rFonts w:cs="Times New Roman"/>
                <w:i/>
                <w:iCs/>
                <w:szCs w:val="28"/>
                <w:lang w:val="nl-NL"/>
              </w:rPr>
              <w:t>Đã ký</w:t>
            </w:r>
          </w:p>
          <w:p w:rsidR="0095039E" w:rsidRPr="00464E05" w:rsidRDefault="00422AC3" w:rsidP="00422AC3">
            <w:pPr>
              <w:spacing w:before="1200"/>
              <w:jc w:val="center"/>
              <w:rPr>
                <w:rFonts w:cs="Times New Roman"/>
                <w:b/>
                <w:szCs w:val="28"/>
                <w:lang w:val="nl-NL"/>
              </w:rPr>
            </w:pPr>
            <w:bookmarkStart w:id="1" w:name="_GoBack"/>
            <w:bookmarkEnd w:id="1"/>
            <w:r w:rsidRPr="00464E05">
              <w:rPr>
                <w:rFonts w:cs="Times New Roman"/>
                <w:b/>
                <w:szCs w:val="28"/>
                <w:lang w:val="nl-NL"/>
              </w:rPr>
              <w:t>Nguyễn Thế Giang</w:t>
            </w:r>
          </w:p>
        </w:tc>
      </w:tr>
    </w:tbl>
    <w:p w:rsidR="00896D32" w:rsidRPr="00464E05" w:rsidRDefault="00896D32">
      <w:pPr>
        <w:rPr>
          <w:rFonts w:cs="Times New Roman"/>
          <w:lang w:val="nl-NL"/>
        </w:rPr>
      </w:pPr>
    </w:p>
    <w:p w:rsidR="00464E05" w:rsidRPr="00464E05" w:rsidRDefault="00464E05" w:rsidP="00464E05">
      <w:pPr>
        <w:jc w:val="center"/>
        <w:rPr>
          <w:rFonts w:cs="Times New Roman"/>
          <w:b/>
          <w:spacing w:val="-4"/>
          <w:sz w:val="26"/>
          <w:szCs w:val="26"/>
          <w:lang w:val="nl-NL"/>
        </w:rPr>
      </w:pPr>
      <w:r w:rsidRPr="00464E05">
        <w:rPr>
          <w:rFonts w:cs="Times New Roman"/>
          <w:b/>
          <w:spacing w:val="-4"/>
          <w:sz w:val="26"/>
          <w:szCs w:val="26"/>
          <w:lang w:val="nl-NL"/>
        </w:rPr>
        <w:lastRenderedPageBreak/>
        <w:t>DANH MỤC 09 THỦ TỤC HÀNH CHÍNH ĐƯỢC SỬA ĐỔI, BỔ SUNG</w:t>
      </w:r>
    </w:p>
    <w:p w:rsidR="00464E05" w:rsidRPr="00464E05" w:rsidRDefault="00464E05" w:rsidP="00464E05">
      <w:pPr>
        <w:jc w:val="center"/>
        <w:rPr>
          <w:rFonts w:cs="Times New Roman"/>
          <w:b/>
          <w:spacing w:val="-4"/>
          <w:sz w:val="26"/>
          <w:szCs w:val="26"/>
          <w:lang w:val="nl-NL"/>
        </w:rPr>
      </w:pPr>
      <w:r w:rsidRPr="00464E05">
        <w:rPr>
          <w:rFonts w:cs="Times New Roman"/>
          <w:b/>
          <w:spacing w:val="-4"/>
          <w:sz w:val="26"/>
          <w:szCs w:val="26"/>
          <w:lang w:val="nl-NL"/>
        </w:rPr>
        <w:t>LĨNH VỰC ĐĂNG KÝ BIỆN PHÁP BẢO ĐẢM THUỘC PHẠM VI CHỨC NĂNG QUẢN LÝ CỦA SỞ TÀI NGUYÊN VÀ MÔI TRƯỜNG TỈNH TUYÊN QUANG</w:t>
      </w:r>
    </w:p>
    <w:p w:rsidR="00464E05" w:rsidRPr="00464E05" w:rsidRDefault="00464E05" w:rsidP="00464E05">
      <w:pPr>
        <w:spacing w:before="80"/>
        <w:jc w:val="center"/>
        <w:rPr>
          <w:rFonts w:cs="Times New Roman"/>
          <w:b/>
          <w:spacing w:val="-4"/>
          <w:sz w:val="26"/>
          <w:szCs w:val="26"/>
          <w:lang w:val="nl-NL"/>
        </w:rPr>
      </w:pPr>
      <w:r w:rsidRPr="00464E05">
        <w:rPr>
          <w:rFonts w:cs="Times New Roman"/>
          <w:i/>
          <w:szCs w:val="28"/>
          <w:lang w:val="nl-NL"/>
        </w:rPr>
        <w:t>(Ban hành kèm theo Quyết định số</w:t>
      </w:r>
      <w:r w:rsidR="00972B4A">
        <w:rPr>
          <w:rFonts w:cs="Times New Roman"/>
          <w:i/>
          <w:szCs w:val="28"/>
          <w:lang w:val="nl-NL"/>
        </w:rPr>
        <w:t>:</w:t>
      </w:r>
      <w:r w:rsidR="001F523C">
        <w:rPr>
          <w:rFonts w:cs="Times New Roman"/>
          <w:i/>
          <w:szCs w:val="28"/>
          <w:lang w:val="nl-NL"/>
        </w:rPr>
        <w:t>724/</w:t>
      </w:r>
      <w:r w:rsidRPr="00464E05">
        <w:rPr>
          <w:rFonts w:cs="Times New Roman"/>
          <w:i/>
          <w:szCs w:val="28"/>
          <w:lang w:val="nl-NL"/>
        </w:rPr>
        <w:t>QĐ-UBND ngày</w:t>
      </w:r>
      <w:r w:rsidR="001F523C">
        <w:rPr>
          <w:rFonts w:cs="Times New Roman"/>
          <w:i/>
          <w:szCs w:val="28"/>
          <w:lang w:val="nl-NL"/>
        </w:rPr>
        <w:t xml:space="preserve"> 22 </w:t>
      </w:r>
      <w:r w:rsidRPr="00464E05">
        <w:rPr>
          <w:rFonts w:cs="Times New Roman"/>
          <w:i/>
          <w:szCs w:val="28"/>
          <w:lang w:val="nl-NL"/>
        </w:rPr>
        <w:t xml:space="preserve">tháng 6 năm 2020  </w:t>
      </w:r>
    </w:p>
    <w:p w:rsidR="00464E05" w:rsidRPr="00464E05" w:rsidRDefault="00464E05" w:rsidP="00464E05">
      <w:pPr>
        <w:jc w:val="center"/>
        <w:rPr>
          <w:rFonts w:cs="Times New Roman"/>
          <w:i/>
          <w:szCs w:val="28"/>
          <w:lang w:val="nl-NL"/>
        </w:rPr>
      </w:pPr>
      <w:r w:rsidRPr="00464E05">
        <w:rPr>
          <w:rFonts w:cs="Times New Roman"/>
          <w:i/>
          <w:szCs w:val="28"/>
          <w:lang w:val="nl-NL"/>
        </w:rPr>
        <w:t xml:space="preserve"> của Chủ tịch Ủy ban nhân dân tỉnh Tuyên Quang)</w:t>
      </w:r>
    </w:p>
    <w:p w:rsidR="00464E05" w:rsidRPr="00464E05" w:rsidRDefault="00464E05" w:rsidP="00464E05">
      <w:pPr>
        <w:jc w:val="center"/>
        <w:rPr>
          <w:rFonts w:cs="Times New Roman"/>
          <w:i/>
          <w:szCs w:val="28"/>
          <w:lang w:val="nl-N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28"/>
        <w:gridCol w:w="1442"/>
        <w:gridCol w:w="1232"/>
        <w:gridCol w:w="714"/>
        <w:gridCol w:w="2365"/>
        <w:gridCol w:w="742"/>
        <w:gridCol w:w="812"/>
        <w:gridCol w:w="658"/>
        <w:gridCol w:w="656"/>
      </w:tblGrid>
      <w:tr w:rsidR="00464E05" w:rsidRPr="00464E05" w:rsidTr="005B1283">
        <w:trPr>
          <w:trHeight w:val="893"/>
          <w:tblHeader/>
        </w:trPr>
        <w:tc>
          <w:tcPr>
            <w:tcW w:w="567" w:type="dxa"/>
            <w:vMerge w:val="restart"/>
            <w:vAlign w:val="center"/>
          </w:tcPr>
          <w:p w:rsidR="00464E05" w:rsidRPr="00464E05" w:rsidRDefault="00464E05" w:rsidP="005B1283">
            <w:pPr>
              <w:jc w:val="center"/>
              <w:rPr>
                <w:rFonts w:cs="Times New Roman"/>
                <w:b/>
                <w:sz w:val="22"/>
              </w:rPr>
            </w:pPr>
            <w:r w:rsidRPr="00464E05">
              <w:rPr>
                <w:rFonts w:cs="Times New Roman"/>
                <w:b/>
                <w:sz w:val="22"/>
              </w:rPr>
              <w:t>TT</w:t>
            </w:r>
          </w:p>
        </w:tc>
        <w:tc>
          <w:tcPr>
            <w:tcW w:w="1728" w:type="dxa"/>
            <w:vMerge w:val="restart"/>
            <w:vAlign w:val="center"/>
          </w:tcPr>
          <w:p w:rsidR="00464E05" w:rsidRPr="00464E05" w:rsidRDefault="00464E05" w:rsidP="005B1283">
            <w:pPr>
              <w:jc w:val="center"/>
              <w:rPr>
                <w:rFonts w:cs="Times New Roman"/>
                <w:b/>
                <w:sz w:val="22"/>
              </w:rPr>
            </w:pPr>
            <w:r w:rsidRPr="00464E05">
              <w:rPr>
                <w:rFonts w:cs="Times New Roman"/>
                <w:b/>
                <w:sz w:val="22"/>
              </w:rPr>
              <w:t>Tên thủ tục</w:t>
            </w:r>
          </w:p>
          <w:p w:rsidR="00464E05" w:rsidRPr="00464E05" w:rsidRDefault="00464E05" w:rsidP="005B1283">
            <w:pPr>
              <w:jc w:val="center"/>
              <w:rPr>
                <w:rFonts w:cs="Times New Roman"/>
                <w:b/>
                <w:sz w:val="22"/>
              </w:rPr>
            </w:pPr>
            <w:r w:rsidRPr="00464E05">
              <w:rPr>
                <w:rFonts w:cs="Times New Roman"/>
                <w:b/>
                <w:sz w:val="22"/>
              </w:rPr>
              <w:t>hành chính</w:t>
            </w:r>
          </w:p>
        </w:tc>
        <w:tc>
          <w:tcPr>
            <w:tcW w:w="1442" w:type="dxa"/>
            <w:vMerge w:val="restart"/>
            <w:vAlign w:val="center"/>
          </w:tcPr>
          <w:p w:rsidR="00464E05" w:rsidRPr="00464E05" w:rsidRDefault="00464E05" w:rsidP="005B1283">
            <w:pPr>
              <w:jc w:val="center"/>
              <w:rPr>
                <w:rFonts w:cs="Times New Roman"/>
                <w:b/>
                <w:sz w:val="22"/>
              </w:rPr>
            </w:pPr>
            <w:r w:rsidRPr="00464E05">
              <w:rPr>
                <w:rFonts w:cs="Times New Roman"/>
                <w:b/>
                <w:sz w:val="22"/>
              </w:rPr>
              <w:t>Thời hạn</w:t>
            </w:r>
          </w:p>
          <w:p w:rsidR="00464E05" w:rsidRPr="00464E05" w:rsidRDefault="00464E05" w:rsidP="005B1283">
            <w:pPr>
              <w:jc w:val="center"/>
              <w:rPr>
                <w:rFonts w:cs="Times New Roman"/>
                <w:b/>
                <w:sz w:val="22"/>
              </w:rPr>
            </w:pPr>
            <w:r w:rsidRPr="00464E05">
              <w:rPr>
                <w:rFonts w:cs="Times New Roman"/>
                <w:b/>
                <w:sz w:val="22"/>
              </w:rPr>
              <w:t>giải quyết</w:t>
            </w:r>
          </w:p>
        </w:tc>
        <w:tc>
          <w:tcPr>
            <w:tcW w:w="1232" w:type="dxa"/>
            <w:vMerge w:val="restart"/>
            <w:vAlign w:val="center"/>
          </w:tcPr>
          <w:p w:rsidR="00464E05" w:rsidRPr="00464E05" w:rsidRDefault="00464E05" w:rsidP="005B1283">
            <w:pPr>
              <w:jc w:val="center"/>
              <w:rPr>
                <w:rFonts w:cs="Times New Roman"/>
                <w:b/>
                <w:sz w:val="22"/>
              </w:rPr>
            </w:pPr>
            <w:r w:rsidRPr="00464E05">
              <w:rPr>
                <w:rFonts w:cs="Times New Roman"/>
                <w:b/>
                <w:sz w:val="22"/>
              </w:rPr>
              <w:t>Địa điểm</w:t>
            </w:r>
          </w:p>
          <w:p w:rsidR="00464E05" w:rsidRPr="00464E05" w:rsidRDefault="00464E05" w:rsidP="005B1283">
            <w:pPr>
              <w:jc w:val="center"/>
              <w:rPr>
                <w:rFonts w:cs="Times New Roman"/>
                <w:b/>
                <w:sz w:val="22"/>
              </w:rPr>
            </w:pPr>
            <w:r w:rsidRPr="00464E05">
              <w:rPr>
                <w:rFonts w:cs="Times New Roman"/>
                <w:b/>
                <w:sz w:val="22"/>
              </w:rPr>
              <w:t>thực hiện</w:t>
            </w:r>
          </w:p>
        </w:tc>
        <w:tc>
          <w:tcPr>
            <w:tcW w:w="714" w:type="dxa"/>
            <w:vMerge w:val="restart"/>
            <w:vAlign w:val="center"/>
          </w:tcPr>
          <w:p w:rsidR="00464E05" w:rsidRPr="00464E05" w:rsidRDefault="00464E05" w:rsidP="005B1283">
            <w:pPr>
              <w:jc w:val="center"/>
              <w:rPr>
                <w:rFonts w:cs="Times New Roman"/>
                <w:b/>
                <w:sz w:val="22"/>
              </w:rPr>
            </w:pPr>
            <w:r w:rsidRPr="00464E05">
              <w:rPr>
                <w:rFonts w:cs="Times New Roman"/>
                <w:b/>
                <w:sz w:val="22"/>
              </w:rPr>
              <w:t>Phí,</w:t>
            </w:r>
          </w:p>
          <w:p w:rsidR="00464E05" w:rsidRPr="00464E05" w:rsidRDefault="00464E05" w:rsidP="005B1283">
            <w:pPr>
              <w:jc w:val="center"/>
              <w:rPr>
                <w:rFonts w:cs="Times New Roman"/>
                <w:b/>
                <w:sz w:val="22"/>
              </w:rPr>
            </w:pPr>
            <w:r w:rsidRPr="00464E05">
              <w:rPr>
                <w:rFonts w:cs="Times New Roman"/>
                <w:b/>
                <w:sz w:val="22"/>
              </w:rPr>
              <w:t>lệ phí</w:t>
            </w:r>
          </w:p>
        </w:tc>
        <w:tc>
          <w:tcPr>
            <w:tcW w:w="2365" w:type="dxa"/>
            <w:vMerge w:val="restart"/>
            <w:vAlign w:val="center"/>
          </w:tcPr>
          <w:p w:rsidR="00464E05" w:rsidRPr="00464E05" w:rsidRDefault="00464E05" w:rsidP="005B1283">
            <w:pPr>
              <w:jc w:val="center"/>
              <w:rPr>
                <w:rFonts w:cs="Times New Roman"/>
                <w:b/>
                <w:sz w:val="22"/>
              </w:rPr>
            </w:pPr>
            <w:r w:rsidRPr="00464E05">
              <w:rPr>
                <w:rFonts w:cs="Times New Roman"/>
                <w:b/>
                <w:bCs/>
                <w:sz w:val="22"/>
              </w:rPr>
              <w:t>Căn cứ pháp lý</w:t>
            </w:r>
          </w:p>
        </w:tc>
        <w:tc>
          <w:tcPr>
            <w:tcW w:w="742" w:type="dxa"/>
            <w:vMerge w:val="restart"/>
            <w:vAlign w:val="center"/>
          </w:tcPr>
          <w:p w:rsidR="00464E05" w:rsidRPr="00464E05" w:rsidRDefault="00464E05" w:rsidP="005B1283">
            <w:pPr>
              <w:ind w:left="-107" w:right="-108"/>
              <w:jc w:val="center"/>
              <w:rPr>
                <w:rFonts w:cs="Times New Roman"/>
                <w:b/>
                <w:sz w:val="22"/>
              </w:rPr>
            </w:pPr>
            <w:r w:rsidRPr="00464E05">
              <w:rPr>
                <w:rFonts w:cs="Times New Roman"/>
                <w:b/>
                <w:sz w:val="22"/>
              </w:rPr>
              <w:t>Qua dịch vụ bưu chính công ích</w:t>
            </w:r>
          </w:p>
        </w:tc>
        <w:tc>
          <w:tcPr>
            <w:tcW w:w="812" w:type="dxa"/>
            <w:vMerge w:val="restart"/>
            <w:vAlign w:val="center"/>
          </w:tcPr>
          <w:p w:rsidR="00464E05" w:rsidRPr="00464E05" w:rsidRDefault="00464E05" w:rsidP="005B1283">
            <w:pPr>
              <w:ind w:left="-76" w:right="-58"/>
              <w:jc w:val="center"/>
              <w:rPr>
                <w:rFonts w:cs="Times New Roman"/>
                <w:b/>
                <w:sz w:val="22"/>
              </w:rPr>
            </w:pPr>
            <w:r w:rsidRPr="00464E05">
              <w:rPr>
                <w:rFonts w:cs="Times New Roman"/>
                <w:b/>
                <w:sz w:val="22"/>
              </w:rPr>
              <w:t>Thực hiện t</w:t>
            </w:r>
            <w:r w:rsidRPr="00464E05">
              <w:rPr>
                <w:rFonts w:cs="Times New Roman"/>
                <w:b/>
                <w:spacing w:val="-4"/>
                <w:sz w:val="22"/>
              </w:rPr>
              <w:t>ại Bộ phận Một cửa</w:t>
            </w:r>
          </w:p>
        </w:tc>
        <w:tc>
          <w:tcPr>
            <w:tcW w:w="1314" w:type="dxa"/>
            <w:gridSpan w:val="2"/>
            <w:vAlign w:val="center"/>
          </w:tcPr>
          <w:p w:rsidR="00464E05" w:rsidRPr="00464E05" w:rsidRDefault="00464E05" w:rsidP="005B1283">
            <w:pPr>
              <w:ind w:left="-94" w:right="-94"/>
              <w:jc w:val="center"/>
              <w:rPr>
                <w:rFonts w:cs="Times New Roman"/>
                <w:b/>
                <w:sz w:val="22"/>
              </w:rPr>
            </w:pPr>
            <w:r w:rsidRPr="00464E05">
              <w:rPr>
                <w:rFonts w:cs="Times New Roman"/>
                <w:b/>
                <w:sz w:val="22"/>
              </w:rPr>
              <w:t>Dịch vụ công trực tuyến</w:t>
            </w:r>
          </w:p>
        </w:tc>
      </w:tr>
      <w:tr w:rsidR="00464E05" w:rsidRPr="00464E05" w:rsidTr="005B1283">
        <w:trPr>
          <w:trHeight w:val="574"/>
          <w:tblHeader/>
        </w:trPr>
        <w:tc>
          <w:tcPr>
            <w:tcW w:w="567" w:type="dxa"/>
            <w:vMerge/>
          </w:tcPr>
          <w:p w:rsidR="00464E05" w:rsidRPr="00464E05" w:rsidRDefault="00464E05" w:rsidP="005B1283">
            <w:pPr>
              <w:jc w:val="center"/>
              <w:rPr>
                <w:rFonts w:cs="Times New Roman"/>
                <w:b/>
                <w:sz w:val="22"/>
              </w:rPr>
            </w:pPr>
          </w:p>
        </w:tc>
        <w:tc>
          <w:tcPr>
            <w:tcW w:w="1728" w:type="dxa"/>
            <w:vMerge/>
          </w:tcPr>
          <w:p w:rsidR="00464E05" w:rsidRPr="00464E05" w:rsidRDefault="00464E05" w:rsidP="005B1283">
            <w:pPr>
              <w:jc w:val="center"/>
              <w:rPr>
                <w:rFonts w:cs="Times New Roman"/>
                <w:b/>
                <w:sz w:val="22"/>
              </w:rPr>
            </w:pPr>
          </w:p>
        </w:tc>
        <w:tc>
          <w:tcPr>
            <w:tcW w:w="1442" w:type="dxa"/>
            <w:vMerge/>
          </w:tcPr>
          <w:p w:rsidR="00464E05" w:rsidRPr="00464E05" w:rsidRDefault="00464E05" w:rsidP="005B1283">
            <w:pPr>
              <w:jc w:val="center"/>
              <w:rPr>
                <w:rFonts w:cs="Times New Roman"/>
                <w:b/>
                <w:sz w:val="22"/>
              </w:rPr>
            </w:pPr>
          </w:p>
        </w:tc>
        <w:tc>
          <w:tcPr>
            <w:tcW w:w="1232" w:type="dxa"/>
            <w:vMerge/>
            <w:vAlign w:val="center"/>
          </w:tcPr>
          <w:p w:rsidR="00464E05" w:rsidRPr="00464E05" w:rsidRDefault="00464E05" w:rsidP="005B1283">
            <w:pPr>
              <w:jc w:val="center"/>
              <w:rPr>
                <w:rFonts w:cs="Times New Roman"/>
                <w:b/>
                <w:sz w:val="22"/>
              </w:rPr>
            </w:pPr>
          </w:p>
        </w:tc>
        <w:tc>
          <w:tcPr>
            <w:tcW w:w="714" w:type="dxa"/>
            <w:vMerge/>
          </w:tcPr>
          <w:p w:rsidR="00464E05" w:rsidRPr="00464E05" w:rsidRDefault="00464E05" w:rsidP="005B1283">
            <w:pPr>
              <w:jc w:val="center"/>
              <w:rPr>
                <w:rFonts w:cs="Times New Roman"/>
                <w:b/>
                <w:sz w:val="22"/>
              </w:rPr>
            </w:pPr>
          </w:p>
        </w:tc>
        <w:tc>
          <w:tcPr>
            <w:tcW w:w="2365" w:type="dxa"/>
            <w:vMerge/>
          </w:tcPr>
          <w:p w:rsidR="00464E05" w:rsidRPr="00464E05" w:rsidRDefault="00464E05" w:rsidP="005B1283">
            <w:pPr>
              <w:jc w:val="center"/>
              <w:rPr>
                <w:rFonts w:cs="Times New Roman"/>
                <w:b/>
                <w:sz w:val="22"/>
              </w:rPr>
            </w:pPr>
          </w:p>
        </w:tc>
        <w:tc>
          <w:tcPr>
            <w:tcW w:w="742" w:type="dxa"/>
            <w:vMerge/>
          </w:tcPr>
          <w:p w:rsidR="00464E05" w:rsidRPr="00464E05" w:rsidRDefault="00464E05" w:rsidP="005B1283">
            <w:pPr>
              <w:jc w:val="center"/>
              <w:rPr>
                <w:rFonts w:cs="Times New Roman"/>
                <w:b/>
                <w:sz w:val="22"/>
              </w:rPr>
            </w:pPr>
          </w:p>
        </w:tc>
        <w:tc>
          <w:tcPr>
            <w:tcW w:w="812" w:type="dxa"/>
            <w:vMerge/>
          </w:tcPr>
          <w:p w:rsidR="00464E05" w:rsidRPr="00464E05" w:rsidRDefault="00464E05" w:rsidP="005B1283">
            <w:pPr>
              <w:ind w:left="-76" w:right="-58"/>
              <w:jc w:val="center"/>
              <w:rPr>
                <w:rFonts w:cs="Times New Roman"/>
                <w:b/>
                <w:sz w:val="22"/>
              </w:rPr>
            </w:pPr>
          </w:p>
        </w:tc>
        <w:tc>
          <w:tcPr>
            <w:tcW w:w="658" w:type="dxa"/>
            <w:vAlign w:val="center"/>
          </w:tcPr>
          <w:p w:rsidR="00464E05" w:rsidRPr="00464E05" w:rsidRDefault="00464E05" w:rsidP="005B1283">
            <w:pPr>
              <w:ind w:left="-76" w:right="-58"/>
              <w:jc w:val="center"/>
              <w:rPr>
                <w:rFonts w:cs="Times New Roman"/>
                <w:b/>
                <w:sz w:val="22"/>
              </w:rPr>
            </w:pPr>
            <w:r w:rsidRPr="00464E05">
              <w:rPr>
                <w:rFonts w:cs="Times New Roman"/>
                <w:b/>
                <w:sz w:val="22"/>
              </w:rPr>
              <w:t>Mức độ 3</w:t>
            </w:r>
          </w:p>
        </w:tc>
        <w:tc>
          <w:tcPr>
            <w:tcW w:w="656" w:type="dxa"/>
            <w:vAlign w:val="center"/>
          </w:tcPr>
          <w:p w:rsidR="00464E05" w:rsidRPr="00464E05" w:rsidRDefault="00464E05" w:rsidP="005B1283">
            <w:pPr>
              <w:ind w:left="-76" w:right="-58"/>
              <w:jc w:val="center"/>
              <w:rPr>
                <w:rFonts w:cs="Times New Roman"/>
                <w:b/>
                <w:sz w:val="22"/>
              </w:rPr>
            </w:pPr>
            <w:r w:rsidRPr="00464E05">
              <w:rPr>
                <w:rFonts w:cs="Times New Roman"/>
                <w:b/>
                <w:sz w:val="22"/>
              </w:rPr>
              <w:t>Mức độ 4</w:t>
            </w: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t>1</w:t>
            </w:r>
          </w:p>
        </w:tc>
        <w:tc>
          <w:tcPr>
            <w:tcW w:w="1728" w:type="dxa"/>
            <w:vAlign w:val="center"/>
          </w:tcPr>
          <w:p w:rsidR="00464E05" w:rsidRPr="00464E05" w:rsidRDefault="00464E05" w:rsidP="005B1283">
            <w:pPr>
              <w:jc w:val="both"/>
              <w:rPr>
                <w:rFonts w:cs="Times New Roman"/>
                <w:sz w:val="24"/>
                <w:szCs w:val="24"/>
                <w:vertAlign w:val="superscript"/>
              </w:rPr>
            </w:pPr>
            <w:r w:rsidRPr="00464E05">
              <w:rPr>
                <w:rFonts w:cs="Times New Roman"/>
                <w:sz w:val="24"/>
                <w:szCs w:val="24"/>
              </w:rPr>
              <w:t>Thủ tục 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r w:rsidRPr="00464E05">
              <w:rPr>
                <w:rStyle w:val="FootnoteReference"/>
                <w:rFonts w:cs="Times New Roman"/>
                <w:sz w:val="24"/>
                <w:szCs w:val="24"/>
              </w:rPr>
              <w:footnoteReference w:id="1"/>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jc w:val="center"/>
              <w:rPr>
                <w:rFonts w:cs="Times New Roman"/>
                <w:spacing w:val="-10"/>
                <w:sz w:val="22"/>
                <w:shd w:val="clear" w:color="auto" w:fill="FFFFFF"/>
              </w:rPr>
            </w:pPr>
            <w:r w:rsidRPr="00464E05">
              <w:rPr>
                <w:rFonts w:eastAsia="Calibri" w:cs="Times New Roman"/>
                <w:spacing w:val="-10"/>
                <w:sz w:val="22"/>
              </w:rPr>
              <w:t>Văn phòng đăng ký đất đai trực thuộc Sở Tài nguyên và Môi trường (Địa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vAlign w:val="center"/>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2</w:t>
            </w:r>
          </w:p>
        </w:tc>
        <w:tc>
          <w:tcPr>
            <w:tcW w:w="1728" w:type="dxa"/>
            <w:vAlign w:val="center"/>
          </w:tcPr>
          <w:p w:rsidR="00464E05" w:rsidRPr="00464E05" w:rsidRDefault="00464E05" w:rsidP="005B1283">
            <w:pPr>
              <w:jc w:val="both"/>
              <w:rPr>
                <w:rFonts w:cs="Times New Roman"/>
                <w:sz w:val="24"/>
                <w:szCs w:val="24"/>
              </w:rPr>
            </w:pPr>
            <w:r w:rsidRPr="00464E05">
              <w:rPr>
                <w:rFonts w:cs="Times New Roman"/>
                <w:sz w:val="24"/>
                <w:szCs w:val="24"/>
              </w:rPr>
              <w:t>Thủ tục đăng ký thế chấp dự án đầu tư xây dựng nhà ở, nhà ở hình thành trong tương lai</w:t>
            </w:r>
            <w:r w:rsidRPr="00464E05">
              <w:rPr>
                <w:rStyle w:val="FootnoteReference"/>
                <w:rFonts w:cs="Times New Roman"/>
                <w:sz w:val="24"/>
                <w:szCs w:val="24"/>
              </w:rPr>
              <w:footnoteReference w:id="2"/>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jc w:val="center"/>
              <w:rPr>
                <w:rFonts w:eastAsia="Calibri" w:cs="Times New Roman"/>
                <w:sz w:val="24"/>
                <w:szCs w:val="24"/>
              </w:rPr>
            </w:pPr>
            <w:r w:rsidRPr="00464E05">
              <w:rPr>
                <w:rFonts w:eastAsia="Calibri" w:cs="Times New Roman"/>
                <w:spacing w:val="-10"/>
                <w:sz w:val="22"/>
              </w:rPr>
              <w:t>Văn phòng đăng ký đất đai trực thuộc Sở Tài nguyên và Môi trường (Địa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8"/>
                <w:sz w:val="24"/>
                <w:szCs w:val="24"/>
              </w:rPr>
            </w:pPr>
            <w:r w:rsidRPr="00464E05">
              <w:rPr>
                <w:rFonts w:cs="Times New Roman"/>
                <w:spacing w:val="-28"/>
                <w:sz w:val="24"/>
                <w:szCs w:val="24"/>
              </w:rPr>
              <w:t>- Luật phí và lệ phí năm 2015;</w:t>
            </w:r>
          </w:p>
          <w:p w:rsidR="00464E05" w:rsidRPr="00464E05" w:rsidRDefault="00464E05" w:rsidP="005B1283">
            <w:pPr>
              <w:tabs>
                <w:tab w:val="left" w:pos="1177"/>
              </w:tabs>
              <w:jc w:val="both"/>
              <w:rPr>
                <w:rFonts w:cs="Times New Roman"/>
                <w:spacing w:val="-12"/>
                <w:sz w:val="24"/>
                <w:szCs w:val="24"/>
              </w:rPr>
            </w:pPr>
            <w:r w:rsidRPr="00464E05">
              <w:rPr>
                <w:rFonts w:cs="Times New Roman"/>
                <w:spacing w:val="-12"/>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12"/>
                <w:sz w:val="24"/>
                <w:szCs w:val="24"/>
              </w:rPr>
            </w:pPr>
            <w:r w:rsidRPr="00464E05">
              <w:rPr>
                <w:rFonts w:cs="Times New Roman"/>
                <w:spacing w:val="-12"/>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vAlign w:val="center"/>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t>3</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 xml:space="preserve">Thủ tục đăng ký thế chấp tài sản gắn liền với đất không phải là nhà ở mà tài sản đó đã hình thành nhưng chưa </w:t>
            </w:r>
            <w:r w:rsidRPr="00464E05">
              <w:rPr>
                <w:rFonts w:cs="Times New Roman"/>
                <w:sz w:val="24"/>
                <w:szCs w:val="24"/>
              </w:rPr>
              <w:lastRenderedPageBreak/>
              <w:t>được chứng nhận quyền sở hữu trên Giấy chứng nhận</w:t>
            </w:r>
            <w:r w:rsidRPr="00464E05">
              <w:rPr>
                <w:rStyle w:val="FootnoteReference"/>
                <w:rFonts w:cs="Times New Roman"/>
                <w:sz w:val="24"/>
                <w:szCs w:val="24"/>
              </w:rPr>
              <w:footnoteReference w:id="3"/>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lastRenderedPageBreak/>
              <w:t xml:space="preserve">Trong ngày nhận hồ sơ hợp lệ. nếu nhận hồ sơ sau 15 giờ thì hoàn thành việc đăng ký và trả kết quả ngay trong </w:t>
            </w:r>
            <w:r w:rsidRPr="00464E05">
              <w:rPr>
                <w:rFonts w:cs="Times New Roman"/>
                <w:sz w:val="22"/>
                <w:shd w:val="clear" w:color="auto" w:fill="FFFFFF"/>
              </w:rPr>
              <w:lastRenderedPageBreak/>
              <w:t>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jc w:val="center"/>
              <w:rPr>
                <w:rFonts w:eastAsia="Calibri" w:cs="Times New Roman"/>
                <w:sz w:val="24"/>
                <w:szCs w:val="24"/>
              </w:rPr>
            </w:pPr>
            <w:r w:rsidRPr="00464E05">
              <w:rPr>
                <w:rFonts w:eastAsia="Calibri" w:cs="Times New Roman"/>
                <w:spacing w:val="-10"/>
                <w:sz w:val="22"/>
              </w:rPr>
              <w:lastRenderedPageBreak/>
              <w:t xml:space="preserve">Văn phòng đăng ký đất đai trực thuộc Sở Tài nguyên và Môi trường (Địa chỉ: số 429 đường Trường </w:t>
            </w:r>
            <w:r w:rsidRPr="00464E05">
              <w:rPr>
                <w:rFonts w:eastAsia="Calibri" w:cs="Times New Roman"/>
                <w:spacing w:val="-10"/>
                <w:sz w:val="22"/>
              </w:rPr>
              <w:lastRenderedPageBreak/>
              <w:t>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xml:space="preserve">- Nghị định số 102/2017/NĐ-CP ngày 01/9/2017 của Chính phủ về đăng ký biện </w:t>
            </w:r>
            <w:r w:rsidRPr="00464E05">
              <w:rPr>
                <w:rFonts w:cs="Times New Roman"/>
                <w:spacing w:val="-6"/>
                <w:sz w:val="24"/>
                <w:szCs w:val="24"/>
              </w:rPr>
              <w:lastRenderedPageBreak/>
              <w:t>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vAlign w:val="center"/>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4</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Thủ tục đăng ký bảo lưu quyền sở hữu trong trường hợp mua bán tài sản gắn liền với đất có bảo lưu quyền sở hữu</w:t>
            </w:r>
            <w:r w:rsidRPr="00464E05">
              <w:rPr>
                <w:rStyle w:val="FootnoteReference"/>
                <w:rFonts w:cs="Times New Roman"/>
                <w:sz w:val="24"/>
                <w:szCs w:val="24"/>
              </w:rPr>
              <w:footnoteReference w:id="4"/>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t xml:space="preserve">Trong ngày nhận hồ sơ hợp lệ. nếu nhận hồ sơ sau 15 giờ thì hoàn thành việc đăng ký và trả kết quả ngay trong ngày làm việc tiếp theo. Trường hợp phải kéo dài thời gian giải quyết hồ </w:t>
            </w:r>
            <w:r w:rsidRPr="00464E05">
              <w:rPr>
                <w:rFonts w:cs="Times New Roman"/>
                <w:sz w:val="22"/>
                <w:shd w:val="clear" w:color="auto" w:fill="FFFFFF"/>
              </w:rPr>
              <w:lastRenderedPageBreak/>
              <w:t>sơ thì cũng không quá 03 ngày làm việc kể từ ngày nhận hồ sơ hợp lệ.</w:t>
            </w:r>
          </w:p>
        </w:tc>
        <w:tc>
          <w:tcPr>
            <w:tcW w:w="1232" w:type="dxa"/>
            <w:vAlign w:val="center"/>
          </w:tcPr>
          <w:p w:rsidR="00464E05" w:rsidRPr="00464E05" w:rsidRDefault="00464E05" w:rsidP="005B1283">
            <w:pPr>
              <w:jc w:val="center"/>
              <w:rPr>
                <w:rFonts w:eastAsia="Calibri" w:cs="Times New Roman"/>
                <w:sz w:val="24"/>
                <w:szCs w:val="24"/>
              </w:rPr>
            </w:pPr>
            <w:r w:rsidRPr="00464E05">
              <w:rPr>
                <w:rFonts w:eastAsia="Calibri" w:cs="Times New Roman"/>
                <w:spacing w:val="-10"/>
                <w:sz w:val="22"/>
              </w:rPr>
              <w:lastRenderedPageBreak/>
              <w:t xml:space="preserve">Văn phòng đăng ký đất đai trực thuộc Sở Tài nguyên và Môi trường (Địa chỉ: số 429 đường Trường Chinh, phường Ỷ La, Thành phố Tuyên Quang, Tỉnh Tuyên </w:t>
            </w:r>
            <w:r w:rsidRPr="00464E05">
              <w:rPr>
                <w:rFonts w:eastAsia="Calibri" w:cs="Times New Roman"/>
                <w:spacing w:val="-10"/>
                <w:sz w:val="22"/>
              </w:rPr>
              <w:lastRenderedPageBreak/>
              <w:t>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xml:space="preserve">- Nghị định số 43/2014/NĐ-CP ngày 15/5/2014 của Chính phủ  quy định chi tiết </w:t>
            </w:r>
            <w:r w:rsidRPr="00464E05">
              <w:rPr>
                <w:rFonts w:cs="Times New Roman"/>
                <w:spacing w:val="-6"/>
                <w:sz w:val="24"/>
                <w:szCs w:val="24"/>
              </w:rPr>
              <w:lastRenderedPageBreak/>
              <w:t>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5</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Thủ tục đăng ký thay đổi nội dung biện pháp bảo đảm bằng quyền sử dụng đất, tài sản gắn liền với đất đã đăng ký</w:t>
            </w:r>
            <w:r w:rsidRPr="00464E05">
              <w:rPr>
                <w:rStyle w:val="FootnoteReference"/>
                <w:rFonts w:cs="Times New Roman"/>
                <w:sz w:val="24"/>
                <w:szCs w:val="24"/>
              </w:rPr>
              <w:footnoteReference w:id="5"/>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jc w:val="center"/>
              <w:rPr>
                <w:rFonts w:eastAsia="Calibri" w:cs="Times New Roman"/>
                <w:spacing w:val="-8"/>
                <w:sz w:val="24"/>
                <w:szCs w:val="24"/>
              </w:rPr>
            </w:pPr>
            <w:r w:rsidRPr="00464E05">
              <w:rPr>
                <w:rFonts w:eastAsia="Calibri" w:cs="Times New Roman"/>
                <w:spacing w:val="-8"/>
                <w:sz w:val="22"/>
              </w:rPr>
              <w:t xml:space="preserve">Văn phòng đăng ký đất đai trực thuộc Sở Tài nguyên và Môi trường (Địa chỉ: số 429 đường Trường Chinh, phường Ỷ La, Thành phố Tuyên Quang, Tỉnh Tuyên Quang) hoặc Chi nhánh Văn phòng đăng ký đất đai các huyện, </w:t>
            </w:r>
            <w:r w:rsidRPr="00464E05">
              <w:rPr>
                <w:rFonts w:eastAsia="Calibri" w:cs="Times New Roman"/>
                <w:spacing w:val="-8"/>
                <w:sz w:val="22"/>
              </w:rPr>
              <w:lastRenderedPageBreak/>
              <w:t>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xml:space="preserve">- Nghị định số 99/2015/NĐ-CP ngày 20/10/2015 của Chính phủ quy định chi tiết và hướng dẫn thi hành một </w:t>
            </w:r>
            <w:r w:rsidRPr="00464E05">
              <w:rPr>
                <w:rFonts w:cs="Times New Roman"/>
                <w:spacing w:val="-8"/>
                <w:sz w:val="24"/>
                <w:szCs w:val="24"/>
              </w:rPr>
              <w:lastRenderedPageBreak/>
              <w:t>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6</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Thủ tục sửa chữa sai sót nội dung biện pháp bảo đảm bằng quyền sử dụng đất, tài sản gắn liền với đất đã đăng ký do lỗi của cơ quan đăng ký</w:t>
            </w:r>
            <w:r w:rsidRPr="00464E05">
              <w:rPr>
                <w:rStyle w:val="FootnoteReference"/>
                <w:rFonts w:cs="Times New Roman"/>
                <w:sz w:val="24"/>
                <w:szCs w:val="24"/>
              </w:rPr>
              <w:footnoteReference w:id="6"/>
            </w:r>
          </w:p>
        </w:tc>
        <w:tc>
          <w:tcPr>
            <w:tcW w:w="1442" w:type="dxa"/>
            <w:vAlign w:val="center"/>
          </w:tcPr>
          <w:p w:rsidR="00464E05" w:rsidRPr="00464E05" w:rsidRDefault="00464E05" w:rsidP="005B1283">
            <w:pPr>
              <w:tabs>
                <w:tab w:val="left" w:pos="1160"/>
              </w:tabs>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jc w:val="center"/>
              <w:rPr>
                <w:rFonts w:eastAsia="Calibri" w:cs="Times New Roman"/>
                <w:sz w:val="24"/>
                <w:szCs w:val="24"/>
              </w:rPr>
            </w:pPr>
            <w:r w:rsidRPr="00464E05">
              <w:rPr>
                <w:rFonts w:eastAsia="Calibri" w:cs="Times New Roman"/>
                <w:spacing w:val="-10"/>
                <w:sz w:val="22"/>
              </w:rPr>
              <w:t>Văn phòng đăng ký đất đai trực thuộc Sở Tài nguyên và Môi trường (Địa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xml:space="preserve">- Nghị định số 01/2017/NĐ-CP ngày 06/01/2017 của Chính phủ sửa đổi, bổ sung một số nghị định quy định chi tiết thi hành </w:t>
            </w:r>
            <w:r w:rsidRPr="00464E05">
              <w:rPr>
                <w:rFonts w:cs="Times New Roman"/>
                <w:spacing w:val="-10"/>
                <w:sz w:val="24"/>
                <w:szCs w:val="24"/>
              </w:rPr>
              <w:lastRenderedPageBreak/>
              <w:t>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7</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Thủ tục đăng ký văn bản thông báo về việc xử lý tài sản thế chấp bằng quyền sử dụng đất, tài sản gắn liền với đất</w:t>
            </w:r>
            <w:r w:rsidRPr="00464E05">
              <w:rPr>
                <w:rStyle w:val="FootnoteReference"/>
                <w:rFonts w:cs="Times New Roman"/>
                <w:sz w:val="24"/>
                <w:szCs w:val="24"/>
              </w:rPr>
              <w:footnoteReference w:id="7"/>
            </w:r>
          </w:p>
        </w:tc>
        <w:tc>
          <w:tcPr>
            <w:tcW w:w="1442" w:type="dxa"/>
            <w:vAlign w:val="center"/>
          </w:tcPr>
          <w:p w:rsidR="00464E05" w:rsidRPr="00464E05" w:rsidRDefault="00464E05" w:rsidP="005B1283">
            <w:pPr>
              <w:tabs>
                <w:tab w:val="left" w:pos="1160"/>
              </w:tabs>
              <w:spacing w:before="20" w:after="20" w:line="260" w:lineRule="atLeast"/>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spacing w:before="20" w:after="20" w:line="260" w:lineRule="atLeast"/>
              <w:jc w:val="center"/>
              <w:rPr>
                <w:rFonts w:eastAsia="Calibri" w:cs="Times New Roman"/>
                <w:sz w:val="24"/>
                <w:szCs w:val="24"/>
              </w:rPr>
            </w:pPr>
            <w:r w:rsidRPr="00464E05">
              <w:rPr>
                <w:rFonts w:eastAsia="Calibri" w:cs="Times New Roman"/>
                <w:spacing w:val="-10"/>
                <w:sz w:val="22"/>
              </w:rPr>
              <w:t>Văn phòng đăng ký đất đai trực thuộc Sở Tài nguyên và Môi trường (Địa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phí và lệ phí năm 2015;</w:t>
            </w:r>
          </w:p>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2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lastRenderedPageBreak/>
              <w:t>8</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Thủ tục chuyển tiếp đăng ký thế chấp quyền tài sản phát sinh từ hợp đồng mua bán nhà ở</w:t>
            </w:r>
            <w:r w:rsidRPr="00464E05">
              <w:rPr>
                <w:rStyle w:val="FootnoteReference"/>
                <w:rFonts w:cs="Times New Roman"/>
                <w:sz w:val="24"/>
                <w:szCs w:val="24"/>
              </w:rPr>
              <w:footnoteReference w:id="8"/>
            </w:r>
          </w:p>
        </w:tc>
        <w:tc>
          <w:tcPr>
            <w:tcW w:w="1442" w:type="dxa"/>
            <w:vAlign w:val="center"/>
          </w:tcPr>
          <w:p w:rsidR="00464E05" w:rsidRPr="00464E05" w:rsidRDefault="00464E05" w:rsidP="005B1283">
            <w:pPr>
              <w:tabs>
                <w:tab w:val="left" w:pos="1160"/>
              </w:tabs>
              <w:spacing w:before="20" w:after="20" w:line="260" w:lineRule="atLeast"/>
              <w:jc w:val="both"/>
              <w:rPr>
                <w:rFonts w:cs="Times New Roman"/>
                <w:spacing w:val="-6"/>
                <w:sz w:val="22"/>
                <w:shd w:val="clear" w:color="auto" w:fill="FFFFFF"/>
              </w:rPr>
            </w:pPr>
            <w:r w:rsidRPr="00464E05">
              <w:rPr>
                <w:rFonts w:cs="Times New Roman"/>
                <w:sz w:val="22"/>
                <w:shd w:val="clear" w:color="auto" w:fill="FFFFFF"/>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spacing w:before="20" w:after="20" w:line="260" w:lineRule="atLeast"/>
              <w:jc w:val="center"/>
              <w:rPr>
                <w:rFonts w:eastAsia="Calibri" w:cs="Times New Roman"/>
                <w:sz w:val="24"/>
                <w:szCs w:val="24"/>
              </w:rPr>
            </w:pPr>
            <w:r w:rsidRPr="00464E05">
              <w:rPr>
                <w:rFonts w:eastAsia="Calibri" w:cs="Times New Roman"/>
                <w:spacing w:val="-10"/>
                <w:sz w:val="22"/>
              </w:rPr>
              <w:t>Văn phòng đăng ký đất đai trực thuộc Sở Tài nguyên và Môi trường (Địa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t>Do Hội đồng nhân dân 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r w:rsidR="00464E05" w:rsidRPr="00464E05" w:rsidTr="005B1283">
        <w:trPr>
          <w:trHeight w:val="558"/>
        </w:trPr>
        <w:tc>
          <w:tcPr>
            <w:tcW w:w="567" w:type="dxa"/>
            <w:vAlign w:val="center"/>
          </w:tcPr>
          <w:p w:rsidR="00464E05" w:rsidRPr="00464E05" w:rsidRDefault="00464E05" w:rsidP="005B1283">
            <w:pPr>
              <w:jc w:val="center"/>
              <w:rPr>
                <w:rFonts w:cs="Times New Roman"/>
                <w:sz w:val="24"/>
                <w:szCs w:val="24"/>
                <w:shd w:val="clear" w:color="auto" w:fill="FFFFFF"/>
              </w:rPr>
            </w:pPr>
            <w:r w:rsidRPr="00464E05">
              <w:rPr>
                <w:rFonts w:cs="Times New Roman"/>
                <w:sz w:val="24"/>
                <w:szCs w:val="24"/>
                <w:shd w:val="clear" w:color="auto" w:fill="FFFFFF"/>
              </w:rPr>
              <w:t>9</w:t>
            </w:r>
          </w:p>
        </w:tc>
        <w:tc>
          <w:tcPr>
            <w:tcW w:w="1728" w:type="dxa"/>
            <w:vAlign w:val="center"/>
          </w:tcPr>
          <w:p w:rsidR="00464E05" w:rsidRPr="00464E05" w:rsidRDefault="00464E05" w:rsidP="005B1283">
            <w:pPr>
              <w:tabs>
                <w:tab w:val="left" w:pos="1297"/>
              </w:tabs>
              <w:jc w:val="both"/>
              <w:rPr>
                <w:rFonts w:cs="Times New Roman"/>
                <w:sz w:val="24"/>
                <w:szCs w:val="24"/>
              </w:rPr>
            </w:pPr>
            <w:r w:rsidRPr="00464E05">
              <w:rPr>
                <w:rFonts w:cs="Times New Roman"/>
                <w:sz w:val="24"/>
                <w:szCs w:val="24"/>
              </w:rPr>
              <w:t xml:space="preserve">Thủ tục xóa đăng ký biện pháp bảo đảm bằng quyền sử dụng đất, tài </w:t>
            </w:r>
            <w:r w:rsidRPr="00464E05">
              <w:rPr>
                <w:rFonts w:cs="Times New Roman"/>
                <w:sz w:val="24"/>
                <w:szCs w:val="24"/>
              </w:rPr>
              <w:lastRenderedPageBreak/>
              <w:t>sản gắn liền với đất</w:t>
            </w:r>
            <w:r w:rsidRPr="00464E05">
              <w:rPr>
                <w:rStyle w:val="FootnoteReference"/>
                <w:rFonts w:cs="Times New Roman"/>
                <w:sz w:val="24"/>
                <w:szCs w:val="24"/>
              </w:rPr>
              <w:footnoteReference w:id="9"/>
            </w:r>
          </w:p>
        </w:tc>
        <w:tc>
          <w:tcPr>
            <w:tcW w:w="1442" w:type="dxa"/>
            <w:vAlign w:val="center"/>
          </w:tcPr>
          <w:p w:rsidR="00464E05" w:rsidRPr="00464E05" w:rsidRDefault="00464E05" w:rsidP="005B1283">
            <w:pPr>
              <w:tabs>
                <w:tab w:val="left" w:pos="1160"/>
              </w:tabs>
              <w:spacing w:before="20" w:after="20" w:line="260" w:lineRule="atLeast"/>
              <w:jc w:val="both"/>
              <w:rPr>
                <w:rFonts w:cs="Times New Roman"/>
                <w:spacing w:val="-6"/>
                <w:sz w:val="22"/>
                <w:shd w:val="clear" w:color="auto" w:fill="FFFFFF"/>
              </w:rPr>
            </w:pPr>
            <w:r w:rsidRPr="00464E05">
              <w:rPr>
                <w:rFonts w:cs="Times New Roman"/>
                <w:sz w:val="22"/>
                <w:shd w:val="clear" w:color="auto" w:fill="FFFFFF"/>
              </w:rPr>
              <w:lastRenderedPageBreak/>
              <w:t xml:space="preserve">Trong ngày nhận hồ sơ hợp lệ. nếu nhận hồ sơ sau 15 giờ thì hoàn thành </w:t>
            </w:r>
            <w:r w:rsidRPr="00464E05">
              <w:rPr>
                <w:rFonts w:cs="Times New Roman"/>
                <w:sz w:val="22"/>
                <w:shd w:val="clear" w:color="auto" w:fill="FFFFFF"/>
              </w:rPr>
              <w:lastRenderedPageBreak/>
              <w:t>việc đăng ký và trả kết quả ngay trong ngày làm việc tiếp theo. Trường hợp phải kéo dài thời gian giải quyết hồ sơ thì cũng không quá 03 ngày làm việc kể từ ngày nhận hồ sơ hợp lệ.</w:t>
            </w:r>
          </w:p>
        </w:tc>
        <w:tc>
          <w:tcPr>
            <w:tcW w:w="1232" w:type="dxa"/>
            <w:vAlign w:val="center"/>
          </w:tcPr>
          <w:p w:rsidR="00464E05" w:rsidRPr="00464E05" w:rsidRDefault="00464E05" w:rsidP="005B1283">
            <w:pPr>
              <w:spacing w:before="20" w:after="20" w:line="260" w:lineRule="atLeast"/>
              <w:jc w:val="center"/>
              <w:rPr>
                <w:rFonts w:eastAsia="Calibri" w:cs="Times New Roman"/>
                <w:sz w:val="24"/>
                <w:szCs w:val="24"/>
              </w:rPr>
            </w:pPr>
            <w:r w:rsidRPr="00464E05">
              <w:rPr>
                <w:rFonts w:eastAsia="Calibri" w:cs="Times New Roman"/>
                <w:spacing w:val="-10"/>
                <w:sz w:val="22"/>
              </w:rPr>
              <w:lastRenderedPageBreak/>
              <w:t xml:space="preserve">Văn phòng đăng ký đất đai trực thuộc Sở Tài nguyên và Môi trường </w:t>
            </w:r>
            <w:r w:rsidRPr="00464E05">
              <w:rPr>
                <w:rFonts w:eastAsia="Calibri" w:cs="Times New Roman"/>
                <w:spacing w:val="-10"/>
                <w:sz w:val="22"/>
              </w:rPr>
              <w:lastRenderedPageBreak/>
              <w:t>(Địa chỉ: số 429 đường Trường Chinh, phường Ỷ La, Thành phố Tuyên Quang, Tỉnh Tuyên Quang) hoặc Chi nhánh Văn phòng đăng ký đất đai các huyện, thành phố (nơi có đất)</w:t>
            </w:r>
          </w:p>
        </w:tc>
        <w:tc>
          <w:tcPr>
            <w:tcW w:w="714"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 xml:space="preserve">Do Hội đồng nhân dân </w:t>
            </w:r>
            <w:r w:rsidRPr="00464E05">
              <w:rPr>
                <w:rFonts w:cs="Times New Roman"/>
                <w:sz w:val="24"/>
                <w:szCs w:val="24"/>
              </w:rPr>
              <w:lastRenderedPageBreak/>
              <w:t>tỉnh quy định</w:t>
            </w:r>
          </w:p>
        </w:tc>
        <w:tc>
          <w:tcPr>
            <w:tcW w:w="2365" w:type="dxa"/>
            <w:vAlign w:val="center"/>
          </w:tcPr>
          <w:p w:rsidR="00464E05" w:rsidRPr="00464E05" w:rsidRDefault="00464E05" w:rsidP="005B1283">
            <w:pPr>
              <w:tabs>
                <w:tab w:val="left" w:pos="1177"/>
              </w:tabs>
              <w:jc w:val="both"/>
              <w:rPr>
                <w:rFonts w:cs="Times New Roman"/>
                <w:spacing w:val="-20"/>
                <w:sz w:val="24"/>
                <w:szCs w:val="24"/>
              </w:rPr>
            </w:pPr>
            <w:r w:rsidRPr="00464E05">
              <w:rPr>
                <w:rFonts w:cs="Times New Roman"/>
                <w:spacing w:val="-20"/>
                <w:sz w:val="24"/>
                <w:szCs w:val="24"/>
              </w:rPr>
              <w:lastRenderedPageBreak/>
              <w:t>- Luật đất đai năm 2013;</w:t>
            </w:r>
          </w:p>
          <w:p w:rsidR="00464E05" w:rsidRPr="00464E05" w:rsidRDefault="00464E05" w:rsidP="005B1283">
            <w:pPr>
              <w:tabs>
                <w:tab w:val="left" w:pos="1177"/>
              </w:tabs>
              <w:jc w:val="both"/>
              <w:rPr>
                <w:rFonts w:cs="Times New Roman"/>
                <w:spacing w:val="-14"/>
                <w:sz w:val="24"/>
                <w:szCs w:val="24"/>
              </w:rPr>
            </w:pPr>
            <w:r w:rsidRPr="00464E05">
              <w:rPr>
                <w:rFonts w:cs="Times New Roman"/>
                <w:spacing w:val="-14"/>
                <w:sz w:val="24"/>
                <w:szCs w:val="24"/>
              </w:rPr>
              <w:t>- Luật nhà ở năm 2014;</w:t>
            </w:r>
          </w:p>
          <w:p w:rsidR="00464E05" w:rsidRPr="00464E05" w:rsidRDefault="00464E05" w:rsidP="005B1283">
            <w:pPr>
              <w:tabs>
                <w:tab w:val="left" w:pos="1177"/>
              </w:tabs>
              <w:jc w:val="both"/>
              <w:rPr>
                <w:rFonts w:cs="Times New Roman"/>
                <w:spacing w:val="-2"/>
                <w:sz w:val="24"/>
                <w:szCs w:val="24"/>
              </w:rPr>
            </w:pPr>
            <w:r w:rsidRPr="00464E05">
              <w:rPr>
                <w:rFonts w:cs="Times New Roman"/>
                <w:spacing w:val="-2"/>
                <w:sz w:val="24"/>
                <w:szCs w:val="24"/>
              </w:rPr>
              <w:t>- Luật phí và lệ phí năm 2015;</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xml:space="preserve">- Nghị định số </w:t>
            </w:r>
            <w:r w:rsidRPr="00464E05">
              <w:rPr>
                <w:rFonts w:cs="Times New Roman"/>
                <w:spacing w:val="-6"/>
                <w:sz w:val="24"/>
                <w:szCs w:val="24"/>
              </w:rPr>
              <w:lastRenderedPageBreak/>
              <w:t>102/2017/NĐ-CP ngày 01/9/2017 của Chính phủ về đăng ký biện pháp bảo đảm;</w:t>
            </w:r>
          </w:p>
          <w:p w:rsidR="00464E05" w:rsidRPr="00464E05" w:rsidRDefault="00464E05" w:rsidP="005B1283">
            <w:pPr>
              <w:tabs>
                <w:tab w:val="left" w:pos="1177"/>
              </w:tabs>
              <w:jc w:val="both"/>
              <w:rPr>
                <w:rFonts w:cs="Times New Roman"/>
                <w:spacing w:val="-6"/>
                <w:sz w:val="24"/>
                <w:szCs w:val="24"/>
              </w:rPr>
            </w:pPr>
            <w:r w:rsidRPr="00464E05">
              <w:rPr>
                <w:rFonts w:cs="Times New Roman"/>
                <w:spacing w:val="-6"/>
                <w:sz w:val="24"/>
                <w:szCs w:val="24"/>
              </w:rPr>
              <w:t>- Nghị định số 43/2014/NĐ-CP ngày 15/5/2014 của Chính phủ  quy định chi tiết thi hành một số điều của Luật đất đai;</w:t>
            </w:r>
          </w:p>
          <w:p w:rsidR="00464E05" w:rsidRPr="00464E05" w:rsidRDefault="00464E05" w:rsidP="005B1283">
            <w:pPr>
              <w:tabs>
                <w:tab w:val="left" w:pos="1177"/>
              </w:tabs>
              <w:jc w:val="both"/>
              <w:rPr>
                <w:rFonts w:cs="Times New Roman"/>
                <w:spacing w:val="-8"/>
                <w:sz w:val="24"/>
                <w:szCs w:val="24"/>
              </w:rPr>
            </w:pPr>
            <w:r w:rsidRPr="00464E05">
              <w:rPr>
                <w:rFonts w:cs="Times New Roman"/>
                <w:spacing w:val="-8"/>
                <w:sz w:val="24"/>
                <w:szCs w:val="24"/>
              </w:rPr>
              <w:t>- Nghị định số 99/2015/NĐ-CP ngày 20/10/2015 của Chính phủ quy định chi tiết và hướng dẫn thi hành một số điều của Luật nhà ở;</w:t>
            </w:r>
          </w:p>
          <w:p w:rsidR="00464E05" w:rsidRPr="00464E05" w:rsidRDefault="00464E05" w:rsidP="005B1283">
            <w:pPr>
              <w:tabs>
                <w:tab w:val="left" w:pos="1177"/>
              </w:tabs>
              <w:jc w:val="both"/>
              <w:rPr>
                <w:rFonts w:cs="Times New Roman"/>
                <w:spacing w:val="-10"/>
                <w:sz w:val="24"/>
                <w:szCs w:val="24"/>
              </w:rPr>
            </w:pPr>
            <w:r w:rsidRPr="00464E05">
              <w:rPr>
                <w:rFonts w:cs="Times New Roman"/>
                <w:spacing w:val="-10"/>
                <w:sz w:val="24"/>
                <w:szCs w:val="24"/>
              </w:rPr>
              <w:t>- Nghị định số 01/2017/NĐ-CP ngày 06/01/2017 của Chính phủ sửa đổi, bổ sung một số nghị định quy định chi tiết thi hành Luật đất đai;</w:t>
            </w:r>
          </w:p>
          <w:p w:rsidR="00464E05" w:rsidRPr="00464E05" w:rsidRDefault="00464E05" w:rsidP="005B1283">
            <w:pPr>
              <w:tabs>
                <w:tab w:val="left" w:pos="1177"/>
              </w:tabs>
              <w:jc w:val="both"/>
              <w:rPr>
                <w:rFonts w:cs="Times New Roman"/>
                <w:sz w:val="24"/>
                <w:szCs w:val="24"/>
              </w:rPr>
            </w:pPr>
            <w:r w:rsidRPr="00464E05">
              <w:rPr>
                <w:rFonts w:cs="Times New Roman"/>
                <w:spacing w:val="-10"/>
                <w:sz w:val="24"/>
                <w:szCs w:val="24"/>
              </w:rPr>
              <w:t>- Thông tư số 07/2019/TT-BTP ngày 25/11/2019 của Bộ trưởng Bộ Tư pháp hướng dẫn một số nội dung về đăng ký thế chấp quyền sử dụng đất, tài sản gắn liền với đất</w:t>
            </w:r>
          </w:p>
        </w:tc>
        <w:tc>
          <w:tcPr>
            <w:tcW w:w="742" w:type="dxa"/>
            <w:vAlign w:val="center"/>
          </w:tcPr>
          <w:p w:rsidR="00464E05" w:rsidRPr="00464E05" w:rsidRDefault="00464E05" w:rsidP="005B1283">
            <w:pPr>
              <w:jc w:val="center"/>
              <w:rPr>
                <w:rFonts w:cs="Times New Roman"/>
                <w:sz w:val="24"/>
                <w:szCs w:val="24"/>
              </w:rPr>
            </w:pPr>
            <w:r w:rsidRPr="00464E05">
              <w:rPr>
                <w:rFonts w:cs="Times New Roman"/>
                <w:sz w:val="24"/>
                <w:szCs w:val="24"/>
              </w:rPr>
              <w:lastRenderedPageBreak/>
              <w:t>x</w:t>
            </w:r>
          </w:p>
        </w:tc>
        <w:tc>
          <w:tcPr>
            <w:tcW w:w="812"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8" w:type="dxa"/>
            <w:vAlign w:val="center"/>
          </w:tcPr>
          <w:p w:rsidR="00464E05" w:rsidRPr="00464E05" w:rsidRDefault="00464E05" w:rsidP="005B1283">
            <w:pPr>
              <w:jc w:val="center"/>
              <w:rPr>
                <w:rFonts w:cs="Times New Roman"/>
                <w:sz w:val="24"/>
                <w:szCs w:val="24"/>
              </w:rPr>
            </w:pPr>
            <w:r w:rsidRPr="00464E05">
              <w:rPr>
                <w:rFonts w:cs="Times New Roman"/>
                <w:sz w:val="24"/>
                <w:szCs w:val="24"/>
              </w:rPr>
              <w:t>x</w:t>
            </w:r>
          </w:p>
        </w:tc>
        <w:tc>
          <w:tcPr>
            <w:tcW w:w="656" w:type="dxa"/>
          </w:tcPr>
          <w:p w:rsidR="00464E05" w:rsidRPr="00464E05" w:rsidRDefault="00464E05" w:rsidP="005B1283">
            <w:pPr>
              <w:jc w:val="center"/>
              <w:rPr>
                <w:rFonts w:cs="Times New Roman"/>
                <w:sz w:val="24"/>
                <w:szCs w:val="24"/>
              </w:rPr>
            </w:pPr>
          </w:p>
        </w:tc>
      </w:tr>
    </w:tbl>
    <w:p w:rsidR="00464E05" w:rsidRPr="00464E05" w:rsidRDefault="00464E05" w:rsidP="00464E05">
      <w:pPr>
        <w:rPr>
          <w:rFonts w:cs="Times New Roman"/>
        </w:rPr>
      </w:pPr>
    </w:p>
    <w:p w:rsidR="00464E05" w:rsidRPr="00464E05" w:rsidRDefault="00464E05">
      <w:pPr>
        <w:rPr>
          <w:rFonts w:cs="Times New Roman"/>
          <w:lang w:val="nl-NL"/>
        </w:rPr>
      </w:pPr>
    </w:p>
    <w:p w:rsidR="00464E05" w:rsidRPr="00464E05" w:rsidRDefault="00464E05">
      <w:pPr>
        <w:rPr>
          <w:rFonts w:cs="Times New Roman"/>
          <w:lang w:val="nl-NL"/>
        </w:rPr>
      </w:pPr>
    </w:p>
    <w:p w:rsidR="00464E05" w:rsidRPr="00464E05" w:rsidRDefault="00464E05">
      <w:pPr>
        <w:rPr>
          <w:rFonts w:cs="Times New Roman"/>
          <w:lang w:val="nl-NL"/>
        </w:rPr>
      </w:pPr>
    </w:p>
    <w:p w:rsidR="00464E05" w:rsidRPr="00464E05" w:rsidRDefault="00464E05">
      <w:pPr>
        <w:rPr>
          <w:rFonts w:cs="Times New Roman"/>
          <w:lang w:val="nl-NL"/>
        </w:rPr>
      </w:pPr>
    </w:p>
    <w:sectPr w:rsidR="00464E05" w:rsidRPr="00464E05" w:rsidSect="00BF52C8">
      <w:headerReference w:type="default" r:id="rId6"/>
      <w:pgSz w:w="11907" w:h="16840" w:code="9"/>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98" w:rsidRDefault="00AF7F98" w:rsidP="0095039E">
      <w:r>
        <w:separator/>
      </w:r>
    </w:p>
  </w:endnote>
  <w:endnote w:type="continuationSeparator" w:id="0">
    <w:p w:rsidR="00AF7F98" w:rsidRDefault="00AF7F98" w:rsidP="00950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98" w:rsidRDefault="00AF7F98" w:rsidP="0095039E">
      <w:r>
        <w:separator/>
      </w:r>
    </w:p>
  </w:footnote>
  <w:footnote w:type="continuationSeparator" w:id="0">
    <w:p w:rsidR="00AF7F98" w:rsidRDefault="00AF7F98" w:rsidP="0095039E">
      <w:r>
        <w:continuationSeparator/>
      </w:r>
    </w:p>
  </w:footnote>
  <w:footnote w:id="1">
    <w:p w:rsidR="00464E05" w:rsidRDefault="00464E05" w:rsidP="00464E05">
      <w:pPr>
        <w:pStyle w:val="FootnoteText"/>
        <w:jc w:val="both"/>
      </w:pPr>
      <w:r>
        <w:rPr>
          <w:rStyle w:val="FootnoteReference"/>
        </w:rPr>
        <w:footnoteRef/>
      </w:r>
      <w:r>
        <w:t>Sửa đổi, bổ sung thành phần, số lượng hồ sơ; kết quả thực hiện TTHC; tên mẫu đơn, mẫu tờ khai; căn cứ pháp  lý của TTHC</w:t>
      </w:r>
    </w:p>
  </w:footnote>
  <w:footnote w:id="2">
    <w:p w:rsidR="00464E05" w:rsidRDefault="00464E05" w:rsidP="00464E05">
      <w:pPr>
        <w:pStyle w:val="FootnoteText"/>
        <w:jc w:val="both"/>
      </w:pPr>
      <w:r>
        <w:rPr>
          <w:rStyle w:val="FootnoteReference"/>
        </w:rPr>
        <w:footnoteRef/>
      </w:r>
      <w:r>
        <w:t>Sửa đổi, bổ sung thành phần, số lượng hồ sơ; kết quả thực hiện TTHC; tên mẫu đơn, mẫu tờ khai; căn cứ pháp  lý của TTHC</w:t>
      </w:r>
    </w:p>
  </w:footnote>
  <w:footnote w:id="3">
    <w:p w:rsidR="00464E05" w:rsidRDefault="00464E05" w:rsidP="00464E05">
      <w:pPr>
        <w:pStyle w:val="FootnoteText"/>
      </w:pPr>
      <w:r>
        <w:rPr>
          <w:rStyle w:val="FootnoteReference"/>
        </w:rPr>
        <w:footnoteRef/>
      </w:r>
      <w:r>
        <w:t xml:space="preserve">Sửa đổi, bổ sung thành phần, số lượng hồ sơ; kết quả thực hiện TTHC; tên mẫu đơn, mẫu tờ khai; căn cứ pháp  lý của TTHC </w:t>
      </w:r>
    </w:p>
  </w:footnote>
  <w:footnote w:id="4">
    <w:p w:rsidR="00464E05" w:rsidRDefault="00464E05" w:rsidP="00464E05">
      <w:pPr>
        <w:pStyle w:val="FootnoteText"/>
      </w:pPr>
      <w:r>
        <w:rPr>
          <w:rStyle w:val="FootnoteReference"/>
        </w:rPr>
        <w:footnoteRef/>
      </w:r>
      <w:r>
        <w:t>Sửa đổi, bổ sung thành phần, số lượng hồ sơ; kết quả thực hiện TTHC; tên mẫu đơn, mẫu tờ khai; căn cứ pháp  lý của TTHC</w:t>
      </w:r>
    </w:p>
  </w:footnote>
  <w:footnote w:id="5">
    <w:p w:rsidR="00464E05" w:rsidRDefault="00464E05" w:rsidP="00464E05">
      <w:pPr>
        <w:pStyle w:val="FootnoteText"/>
      </w:pPr>
      <w:r>
        <w:rPr>
          <w:rStyle w:val="FootnoteReference"/>
        </w:rPr>
        <w:footnoteRef/>
      </w:r>
      <w:r>
        <w:t>Sửa đổi, bổ sung thành phần, số lượng hồ sơ; kết quả thực hiện TTHC; tên mẫu đơn, mẫu tờ khai; căn cứ pháp  lý của TTHC</w:t>
      </w:r>
    </w:p>
  </w:footnote>
  <w:footnote w:id="6">
    <w:p w:rsidR="00464E05" w:rsidRDefault="00464E05" w:rsidP="00464E05">
      <w:pPr>
        <w:pStyle w:val="FootnoteText"/>
      </w:pPr>
      <w:r>
        <w:rPr>
          <w:rStyle w:val="FootnoteReference"/>
        </w:rPr>
        <w:footnoteRef/>
      </w:r>
      <w:r>
        <w:t xml:space="preserve">Sửa đổi, bổ sung thành phần, số lượng hồ sơ; kết quả thực hiện TTHC; tên mẫu đơn, mẫu tờ khai; căn cứ pháp  lý của TTHC </w:t>
      </w:r>
    </w:p>
  </w:footnote>
  <w:footnote w:id="7">
    <w:p w:rsidR="00464E05" w:rsidRDefault="00464E05" w:rsidP="00464E05">
      <w:pPr>
        <w:pStyle w:val="FootnoteText"/>
      </w:pPr>
      <w:r>
        <w:rPr>
          <w:rStyle w:val="FootnoteReference"/>
        </w:rPr>
        <w:footnoteRef/>
      </w:r>
      <w:r>
        <w:t>Sửa đổi, bổ sung thành phần, số lượng hồ sơ; kết quả thực hiện TTHC; tên mẫu đơn, mẫu tờ khai; căn cứ pháp  lý của TTHC</w:t>
      </w:r>
    </w:p>
  </w:footnote>
  <w:footnote w:id="8">
    <w:p w:rsidR="00464E05" w:rsidRDefault="00464E05" w:rsidP="00464E05">
      <w:pPr>
        <w:pStyle w:val="FootnoteText"/>
      </w:pPr>
      <w:r>
        <w:rPr>
          <w:rStyle w:val="FootnoteReference"/>
        </w:rPr>
        <w:footnoteRef/>
      </w:r>
      <w:r>
        <w:t>Sửa đổi, bổ sung thành phần, số lượng hồ sơ; kết quả thực hiện TTHC; tên mẫu đơn, mẫu tờ khai; căn cứ pháp  lý của TTHC</w:t>
      </w:r>
    </w:p>
  </w:footnote>
  <w:footnote w:id="9">
    <w:p w:rsidR="00464E05" w:rsidRDefault="00464E05" w:rsidP="00464E05">
      <w:pPr>
        <w:pStyle w:val="FootnoteText"/>
      </w:pPr>
      <w:r>
        <w:rPr>
          <w:rStyle w:val="FootnoteReference"/>
        </w:rPr>
        <w:footnoteRef/>
      </w:r>
      <w:r>
        <w:t>Sửa đổi, bổ sung thành phần, số lượng hồ sơ; kết quả thực hiện TTHC; tên mẫu đơn, mẫu tờ khai; căn cứ pháp  lý của TTHC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5100"/>
      <w:docPartObj>
        <w:docPartGallery w:val="Page Numbers (Top of Page)"/>
        <w:docPartUnique/>
      </w:docPartObj>
    </w:sdtPr>
    <w:sdtContent>
      <w:p w:rsidR="00FB638C" w:rsidRDefault="003F0C47">
        <w:pPr>
          <w:pStyle w:val="Header"/>
          <w:jc w:val="center"/>
        </w:pPr>
        <w:fldSimple w:instr=" PAGE   \* MERGEFORMAT ">
          <w:r w:rsidR="00CC32AB">
            <w:rPr>
              <w:noProof/>
            </w:rPr>
            <w:t>10</w:t>
          </w:r>
        </w:fldSimple>
      </w:p>
    </w:sdtContent>
  </w:sdt>
  <w:p w:rsidR="00FB638C" w:rsidRDefault="00FB63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5039E"/>
    <w:rsid w:val="000238B3"/>
    <w:rsid w:val="00026078"/>
    <w:rsid w:val="00034CA9"/>
    <w:rsid w:val="0003725C"/>
    <w:rsid w:val="00040A8B"/>
    <w:rsid w:val="00057A47"/>
    <w:rsid w:val="00083E3B"/>
    <w:rsid w:val="000A0F8F"/>
    <w:rsid w:val="000C5BE3"/>
    <w:rsid w:val="000E0B48"/>
    <w:rsid w:val="000E2C25"/>
    <w:rsid w:val="00102DC7"/>
    <w:rsid w:val="00116FE2"/>
    <w:rsid w:val="001175C0"/>
    <w:rsid w:val="00127CB3"/>
    <w:rsid w:val="001403B1"/>
    <w:rsid w:val="00147A48"/>
    <w:rsid w:val="0016511D"/>
    <w:rsid w:val="001B006A"/>
    <w:rsid w:val="001B2026"/>
    <w:rsid w:val="001F23B4"/>
    <w:rsid w:val="001F523C"/>
    <w:rsid w:val="002073D3"/>
    <w:rsid w:val="00223457"/>
    <w:rsid w:val="0024211B"/>
    <w:rsid w:val="002958B7"/>
    <w:rsid w:val="00297735"/>
    <w:rsid w:val="003339BD"/>
    <w:rsid w:val="00342877"/>
    <w:rsid w:val="003838F0"/>
    <w:rsid w:val="003853F0"/>
    <w:rsid w:val="003B51AD"/>
    <w:rsid w:val="003C3172"/>
    <w:rsid w:val="003F0C47"/>
    <w:rsid w:val="00400AD5"/>
    <w:rsid w:val="0042017E"/>
    <w:rsid w:val="00422AC3"/>
    <w:rsid w:val="00436BFD"/>
    <w:rsid w:val="00464E05"/>
    <w:rsid w:val="004674C3"/>
    <w:rsid w:val="0047241E"/>
    <w:rsid w:val="0047277B"/>
    <w:rsid w:val="004912DC"/>
    <w:rsid w:val="004940B1"/>
    <w:rsid w:val="004B150E"/>
    <w:rsid w:val="004C0699"/>
    <w:rsid w:val="004C2414"/>
    <w:rsid w:val="004C2CB6"/>
    <w:rsid w:val="004D0509"/>
    <w:rsid w:val="00516B52"/>
    <w:rsid w:val="0054756C"/>
    <w:rsid w:val="005517B1"/>
    <w:rsid w:val="005575B5"/>
    <w:rsid w:val="005836B3"/>
    <w:rsid w:val="00592AD8"/>
    <w:rsid w:val="005A33D5"/>
    <w:rsid w:val="005B08F2"/>
    <w:rsid w:val="005C2C88"/>
    <w:rsid w:val="006047BD"/>
    <w:rsid w:val="00621108"/>
    <w:rsid w:val="006230BA"/>
    <w:rsid w:val="006437CA"/>
    <w:rsid w:val="00646AD6"/>
    <w:rsid w:val="00654DDC"/>
    <w:rsid w:val="00681B63"/>
    <w:rsid w:val="00682E39"/>
    <w:rsid w:val="006935D9"/>
    <w:rsid w:val="006A2199"/>
    <w:rsid w:val="006A2F89"/>
    <w:rsid w:val="006A52D4"/>
    <w:rsid w:val="006A54E1"/>
    <w:rsid w:val="006C61DC"/>
    <w:rsid w:val="00726D72"/>
    <w:rsid w:val="00740E73"/>
    <w:rsid w:val="007A16DE"/>
    <w:rsid w:val="007B1246"/>
    <w:rsid w:val="007B5607"/>
    <w:rsid w:val="007D0EB9"/>
    <w:rsid w:val="007E4006"/>
    <w:rsid w:val="00816E8E"/>
    <w:rsid w:val="00825D47"/>
    <w:rsid w:val="00860F96"/>
    <w:rsid w:val="008657E4"/>
    <w:rsid w:val="00896D32"/>
    <w:rsid w:val="008C73B1"/>
    <w:rsid w:val="008D05D5"/>
    <w:rsid w:val="008D10F6"/>
    <w:rsid w:val="00904B0F"/>
    <w:rsid w:val="0091409E"/>
    <w:rsid w:val="0093351C"/>
    <w:rsid w:val="0095039E"/>
    <w:rsid w:val="0096119C"/>
    <w:rsid w:val="00972B4A"/>
    <w:rsid w:val="00976491"/>
    <w:rsid w:val="00984DDA"/>
    <w:rsid w:val="00997BCB"/>
    <w:rsid w:val="009B2CBE"/>
    <w:rsid w:val="009C21E8"/>
    <w:rsid w:val="009F4A14"/>
    <w:rsid w:val="00A1240E"/>
    <w:rsid w:val="00A16BF4"/>
    <w:rsid w:val="00A21AE3"/>
    <w:rsid w:val="00A244B7"/>
    <w:rsid w:val="00A43948"/>
    <w:rsid w:val="00A521FA"/>
    <w:rsid w:val="00A553DC"/>
    <w:rsid w:val="00A560B3"/>
    <w:rsid w:val="00A631C5"/>
    <w:rsid w:val="00A63A2B"/>
    <w:rsid w:val="00A72576"/>
    <w:rsid w:val="00A9258C"/>
    <w:rsid w:val="00AC1D4A"/>
    <w:rsid w:val="00AC23E6"/>
    <w:rsid w:val="00AC25EE"/>
    <w:rsid w:val="00AD3B28"/>
    <w:rsid w:val="00AF79E7"/>
    <w:rsid w:val="00AF7F98"/>
    <w:rsid w:val="00B03237"/>
    <w:rsid w:val="00B0502C"/>
    <w:rsid w:val="00B10615"/>
    <w:rsid w:val="00B321F3"/>
    <w:rsid w:val="00B53D57"/>
    <w:rsid w:val="00B74D62"/>
    <w:rsid w:val="00B83222"/>
    <w:rsid w:val="00B86B30"/>
    <w:rsid w:val="00B912B2"/>
    <w:rsid w:val="00B97852"/>
    <w:rsid w:val="00BA7EDF"/>
    <w:rsid w:val="00BB6780"/>
    <w:rsid w:val="00BE403E"/>
    <w:rsid w:val="00BE4943"/>
    <w:rsid w:val="00BF2B38"/>
    <w:rsid w:val="00BF52C8"/>
    <w:rsid w:val="00C554BF"/>
    <w:rsid w:val="00C76027"/>
    <w:rsid w:val="00C920F0"/>
    <w:rsid w:val="00CB66FC"/>
    <w:rsid w:val="00CC32AB"/>
    <w:rsid w:val="00CD5561"/>
    <w:rsid w:val="00CF70C7"/>
    <w:rsid w:val="00D1471D"/>
    <w:rsid w:val="00D252E6"/>
    <w:rsid w:val="00D66A4C"/>
    <w:rsid w:val="00D95785"/>
    <w:rsid w:val="00DA1A3B"/>
    <w:rsid w:val="00DA7238"/>
    <w:rsid w:val="00DC09C4"/>
    <w:rsid w:val="00DE384A"/>
    <w:rsid w:val="00E27DBE"/>
    <w:rsid w:val="00E318C1"/>
    <w:rsid w:val="00E4317E"/>
    <w:rsid w:val="00E46417"/>
    <w:rsid w:val="00E46469"/>
    <w:rsid w:val="00E56B2B"/>
    <w:rsid w:val="00E75C03"/>
    <w:rsid w:val="00E81751"/>
    <w:rsid w:val="00ED0CD0"/>
    <w:rsid w:val="00F01D31"/>
    <w:rsid w:val="00F12F6D"/>
    <w:rsid w:val="00F449AB"/>
    <w:rsid w:val="00F522E4"/>
    <w:rsid w:val="00F670C7"/>
    <w:rsid w:val="00FB2281"/>
    <w:rsid w:val="00FB638C"/>
    <w:rsid w:val="00FD3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5">
    <w:name w:val="Văn bản nội dung (5)_"/>
    <w:link w:val="Vnbnnidung50"/>
    <w:locked/>
    <w:rsid w:val="0095039E"/>
    <w:rPr>
      <w:i/>
      <w:sz w:val="26"/>
      <w:shd w:val="clear" w:color="auto" w:fill="FFFFFF"/>
    </w:rPr>
  </w:style>
  <w:style w:type="paragraph" w:customStyle="1" w:styleId="Vnbnnidung50">
    <w:name w:val="Văn bản nội dung (5)"/>
    <w:basedOn w:val="Normal"/>
    <w:link w:val="Vnbnnidung5"/>
    <w:rsid w:val="0095039E"/>
    <w:pPr>
      <w:widowControl w:val="0"/>
      <w:shd w:val="clear" w:color="auto" w:fill="FFFFFF"/>
      <w:spacing w:line="370" w:lineRule="exact"/>
      <w:jc w:val="both"/>
    </w:pPr>
    <w:rPr>
      <w:i/>
      <w:sz w:val="26"/>
      <w:shd w:val="clear" w:color="auto" w:fill="FFFFFF"/>
    </w:rPr>
  </w:style>
  <w:style w:type="paragraph" w:styleId="NormalWeb">
    <w:name w:val="Normal (Web)"/>
    <w:basedOn w:val="Normal"/>
    <w:rsid w:val="0095039E"/>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semiHidden/>
    <w:rsid w:val="0095039E"/>
    <w:rPr>
      <w:rFonts w:eastAsia="Times New Roman" w:cs="Times New Roman"/>
      <w:sz w:val="20"/>
      <w:szCs w:val="20"/>
    </w:rPr>
  </w:style>
  <w:style w:type="character" w:customStyle="1" w:styleId="FootnoteTextChar">
    <w:name w:val="Footnote Text Char"/>
    <w:basedOn w:val="DefaultParagraphFont"/>
    <w:link w:val="FootnoteText"/>
    <w:semiHidden/>
    <w:rsid w:val="0095039E"/>
    <w:rPr>
      <w:rFonts w:eastAsia="Times New Roman" w:cs="Times New Roman"/>
      <w:sz w:val="20"/>
      <w:szCs w:val="20"/>
    </w:rPr>
  </w:style>
  <w:style w:type="character" w:styleId="FootnoteReference">
    <w:name w:val="footnote reference"/>
    <w:basedOn w:val="DefaultParagraphFont"/>
    <w:semiHidden/>
    <w:rsid w:val="0095039E"/>
    <w:rPr>
      <w:vertAlign w:val="superscript"/>
    </w:rPr>
  </w:style>
  <w:style w:type="paragraph" w:styleId="Header">
    <w:name w:val="header"/>
    <w:basedOn w:val="Normal"/>
    <w:link w:val="HeaderChar"/>
    <w:uiPriority w:val="99"/>
    <w:unhideWhenUsed/>
    <w:rsid w:val="0003725C"/>
    <w:pPr>
      <w:tabs>
        <w:tab w:val="center" w:pos="4680"/>
        <w:tab w:val="right" w:pos="9360"/>
      </w:tabs>
    </w:pPr>
  </w:style>
  <w:style w:type="character" w:customStyle="1" w:styleId="HeaderChar">
    <w:name w:val="Header Char"/>
    <w:basedOn w:val="DefaultParagraphFont"/>
    <w:link w:val="Header"/>
    <w:uiPriority w:val="99"/>
    <w:rsid w:val="0003725C"/>
  </w:style>
  <w:style w:type="paragraph" w:styleId="Footer">
    <w:name w:val="footer"/>
    <w:basedOn w:val="Normal"/>
    <w:link w:val="FooterChar"/>
    <w:uiPriority w:val="99"/>
    <w:semiHidden/>
    <w:unhideWhenUsed/>
    <w:rsid w:val="0003725C"/>
    <w:pPr>
      <w:tabs>
        <w:tab w:val="center" w:pos="4680"/>
        <w:tab w:val="right" w:pos="9360"/>
      </w:tabs>
    </w:pPr>
  </w:style>
  <w:style w:type="character" w:customStyle="1" w:styleId="FooterChar">
    <w:name w:val="Footer Char"/>
    <w:basedOn w:val="DefaultParagraphFont"/>
    <w:link w:val="Footer"/>
    <w:uiPriority w:val="99"/>
    <w:semiHidden/>
    <w:rsid w:val="0003725C"/>
  </w:style>
  <w:style w:type="paragraph" w:styleId="EndnoteText">
    <w:name w:val="endnote text"/>
    <w:basedOn w:val="Normal"/>
    <w:link w:val="EndnoteTextChar"/>
    <w:uiPriority w:val="99"/>
    <w:semiHidden/>
    <w:unhideWhenUsed/>
    <w:rsid w:val="000C5BE3"/>
    <w:rPr>
      <w:sz w:val="20"/>
      <w:szCs w:val="20"/>
    </w:rPr>
  </w:style>
  <w:style w:type="character" w:customStyle="1" w:styleId="EndnoteTextChar">
    <w:name w:val="Endnote Text Char"/>
    <w:basedOn w:val="DefaultParagraphFont"/>
    <w:link w:val="EndnoteText"/>
    <w:uiPriority w:val="99"/>
    <w:semiHidden/>
    <w:rsid w:val="000C5BE3"/>
    <w:rPr>
      <w:sz w:val="20"/>
      <w:szCs w:val="20"/>
    </w:rPr>
  </w:style>
  <w:style w:type="character" w:styleId="EndnoteReference">
    <w:name w:val="endnote reference"/>
    <w:basedOn w:val="DefaultParagraphFont"/>
    <w:uiPriority w:val="99"/>
    <w:semiHidden/>
    <w:unhideWhenUsed/>
    <w:rsid w:val="000C5B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3</cp:revision>
  <cp:lastPrinted>2020-06-22T02:51:00Z</cp:lastPrinted>
  <dcterms:created xsi:type="dcterms:W3CDTF">2020-06-22T07:31:00Z</dcterms:created>
  <dcterms:modified xsi:type="dcterms:W3CDTF">2020-06-22T07:32:00Z</dcterms:modified>
</cp:coreProperties>
</file>